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7D" w:rsidRPr="008E07AB" w:rsidRDefault="00A7407D">
      <w:pPr>
        <w:rPr>
          <w:rFonts w:ascii="ITC New Baskerville Std" w:hAnsi="ITC New Baskerville Std"/>
        </w:rPr>
      </w:pPr>
    </w:p>
    <w:p w:rsidR="0098653E" w:rsidRPr="00A519E9" w:rsidRDefault="0098653E">
      <w:pPr>
        <w:rPr>
          <w:noProof/>
          <w:lang w:eastAsia="gl-ES"/>
        </w:rPr>
      </w:pPr>
    </w:p>
    <w:p w:rsidR="002C469B" w:rsidRPr="00A519E9" w:rsidRDefault="002C469B">
      <w:pPr>
        <w:rPr>
          <w:noProof/>
          <w:lang w:eastAsia="gl-ES"/>
        </w:rPr>
      </w:pPr>
    </w:p>
    <w:p w:rsidR="002C469B" w:rsidRPr="00A519E9" w:rsidRDefault="002C469B">
      <w:pPr>
        <w:rPr>
          <w:noProof/>
          <w:lang w:eastAsia="gl-ES"/>
        </w:rPr>
      </w:pPr>
    </w:p>
    <w:p w:rsidR="002C469B" w:rsidRPr="00A519E9" w:rsidRDefault="002C469B">
      <w:pPr>
        <w:rPr>
          <w:noProof/>
          <w:lang w:eastAsia="gl-ES"/>
        </w:rPr>
      </w:pPr>
    </w:p>
    <w:p w:rsidR="002C469B" w:rsidRPr="00A519E9" w:rsidRDefault="002C469B">
      <w:pPr>
        <w:rPr>
          <w:noProof/>
          <w:lang w:eastAsia="gl-ES"/>
        </w:rPr>
      </w:pPr>
    </w:p>
    <w:p w:rsidR="00442A24" w:rsidRPr="00A519E9" w:rsidRDefault="00442A24" w:rsidP="00442A24">
      <w:pPr>
        <w:pBdr>
          <w:top w:val="single" w:sz="4" w:space="1" w:color="auto"/>
        </w:pBdr>
        <w:spacing w:after="0" w:line="240" w:lineRule="auto"/>
        <w:jc w:val="right"/>
        <w:rPr>
          <w:rFonts w:ascii="ITC New Baskerville Std" w:hAnsi="ITC New Baskerville Std"/>
          <w:b/>
          <w:sz w:val="20"/>
          <w:szCs w:val="20"/>
        </w:rPr>
      </w:pPr>
      <w:r w:rsidRPr="00A519E9">
        <w:rPr>
          <w:rFonts w:ascii="ITC New Baskerville Std" w:hAnsi="ITC New Baskerville Std"/>
          <w:b/>
          <w:sz w:val="20"/>
          <w:szCs w:val="20"/>
        </w:rPr>
        <w:t>MANUAL DE PROCEDEMENTOS DE CALIDADE</w:t>
      </w:r>
    </w:p>
    <w:p w:rsidR="00442A24" w:rsidRPr="00A519E9" w:rsidRDefault="00442A24" w:rsidP="00442A24">
      <w:pPr>
        <w:shd w:val="clear" w:color="auto" w:fill="FFFFFF" w:themeFill="background1"/>
        <w:spacing w:after="0"/>
        <w:rPr>
          <w:rFonts w:ascii="ITC New Baskerville Std" w:hAnsi="ITC New Baskerville Std"/>
          <w:sz w:val="36"/>
          <w:szCs w:val="36"/>
        </w:rPr>
      </w:pPr>
    </w:p>
    <w:p w:rsidR="00442A24" w:rsidRPr="00A519E9" w:rsidRDefault="00442A24" w:rsidP="00442A24">
      <w:pPr>
        <w:shd w:val="clear" w:color="auto" w:fill="FFFFFF" w:themeFill="background1"/>
        <w:spacing w:after="0"/>
        <w:rPr>
          <w:rFonts w:ascii="ITC New Baskerville Std" w:hAnsi="ITC New Baskerville Std"/>
          <w:sz w:val="24"/>
          <w:szCs w:val="24"/>
        </w:rPr>
      </w:pPr>
      <w:r w:rsidRPr="00A519E9">
        <w:rPr>
          <w:rFonts w:ascii="ITC New Baskerville Std" w:hAnsi="ITC New Baskerville Std"/>
          <w:sz w:val="36"/>
          <w:szCs w:val="36"/>
        </w:rPr>
        <w:t>P</w:t>
      </w:r>
      <w:r w:rsidRPr="00A519E9">
        <w:rPr>
          <w:rFonts w:ascii="ITC New Baskerville Std" w:hAnsi="ITC New Baskerville Std"/>
          <w:sz w:val="24"/>
          <w:szCs w:val="24"/>
        </w:rPr>
        <w:t>ROCEDEMENTO</w:t>
      </w:r>
    </w:p>
    <w:p w:rsidR="00442A24" w:rsidRPr="00A519E9" w:rsidRDefault="002A5F8D" w:rsidP="00442A24">
      <w:pPr>
        <w:pBdr>
          <w:top w:val="single" w:sz="24" w:space="1" w:color="000000" w:themeColor="text1"/>
        </w:pBdr>
        <w:shd w:val="clear" w:color="auto" w:fill="FFFFFF" w:themeFill="background1"/>
        <w:spacing w:after="0"/>
        <w:rPr>
          <w:rFonts w:ascii="ITC New Baskerville Std" w:hAnsi="ITC New Baskerville Std"/>
          <w:sz w:val="36"/>
          <w:szCs w:val="36"/>
        </w:rPr>
      </w:pPr>
      <w:r w:rsidRPr="00A519E9">
        <w:rPr>
          <w:rFonts w:ascii="ITC New Baskerville Std" w:hAnsi="ITC New Baskerville Std"/>
          <w:sz w:val="56"/>
          <w:szCs w:val="52"/>
        </w:rPr>
        <w:t>Xestió</w:t>
      </w:r>
      <w:r w:rsidR="00291D62" w:rsidRPr="00A519E9">
        <w:rPr>
          <w:rFonts w:ascii="ITC New Baskerville Std" w:hAnsi="ITC New Baskerville Std"/>
          <w:sz w:val="56"/>
          <w:szCs w:val="52"/>
        </w:rPr>
        <w:t>n da</w:t>
      </w:r>
      <w:r w:rsidR="00492191" w:rsidRPr="00A519E9">
        <w:rPr>
          <w:rFonts w:ascii="ITC New Baskerville Std" w:hAnsi="ITC New Baskerville Std"/>
          <w:sz w:val="56"/>
          <w:szCs w:val="52"/>
        </w:rPr>
        <w:t xml:space="preserve"> mobilidade</w:t>
      </w:r>
    </w:p>
    <w:p w:rsidR="00442A24" w:rsidRPr="00A519E9" w:rsidRDefault="00442A24" w:rsidP="00442A24">
      <w:pPr>
        <w:shd w:val="clear" w:color="auto" w:fill="FFFFFF" w:themeFill="background1"/>
        <w:rPr>
          <w:rFonts w:ascii="ITC New Baskerville Std" w:hAnsi="ITC New Baskerville Std"/>
          <w:sz w:val="30"/>
          <w:szCs w:val="48"/>
        </w:rPr>
      </w:pPr>
      <w:r w:rsidRPr="00A519E9">
        <w:rPr>
          <w:rFonts w:ascii="ITC New Baskerville Std" w:hAnsi="ITC New Baskerville Std"/>
          <w:sz w:val="30"/>
          <w:szCs w:val="36"/>
        </w:rPr>
        <w:t>C</w:t>
      </w:r>
      <w:r w:rsidRPr="00A519E9">
        <w:rPr>
          <w:rFonts w:ascii="ITC New Baskerville Std" w:hAnsi="ITC New Baskerville Std"/>
          <w:sz w:val="30"/>
          <w:szCs w:val="24"/>
        </w:rPr>
        <w:t>ÓDIGO</w:t>
      </w:r>
      <w:r w:rsidRPr="00A519E9">
        <w:rPr>
          <w:rFonts w:ascii="ITC New Baskerville Std" w:hAnsi="ITC New Baskerville Std"/>
          <w:sz w:val="30"/>
          <w:szCs w:val="36"/>
        </w:rPr>
        <w:t xml:space="preserve"> </w:t>
      </w:r>
      <w:r w:rsidR="00291D62" w:rsidRPr="00A519E9">
        <w:rPr>
          <w:rFonts w:ascii="ITC New Baskerville Std" w:hAnsi="ITC New Baskerville Std"/>
          <w:sz w:val="30"/>
          <w:szCs w:val="48"/>
        </w:rPr>
        <w:t>DO</w:t>
      </w:r>
      <w:r w:rsidRPr="00A519E9">
        <w:rPr>
          <w:rFonts w:ascii="ITC New Baskerville Std" w:hAnsi="ITC New Baskerville Std"/>
          <w:sz w:val="30"/>
          <w:szCs w:val="48"/>
        </w:rPr>
        <w:t>-0</w:t>
      </w:r>
      <w:r w:rsidR="00291D62" w:rsidRPr="00A519E9">
        <w:rPr>
          <w:rFonts w:ascii="ITC New Baskerville Std" w:hAnsi="ITC New Baskerville Std"/>
          <w:sz w:val="30"/>
          <w:szCs w:val="48"/>
        </w:rPr>
        <w:t>20</w:t>
      </w:r>
      <w:r w:rsidR="00492191" w:rsidRPr="00A519E9">
        <w:rPr>
          <w:rFonts w:ascii="ITC New Baskerville Std" w:hAnsi="ITC New Baskerville Std"/>
          <w:sz w:val="30"/>
          <w:szCs w:val="48"/>
        </w:rPr>
        <w:t>5</w:t>
      </w:r>
      <w:r w:rsidRPr="00A519E9">
        <w:rPr>
          <w:rFonts w:ascii="ITC New Baskerville Std" w:hAnsi="ITC New Baskerville Std"/>
          <w:sz w:val="30"/>
          <w:szCs w:val="48"/>
        </w:rPr>
        <w:t xml:space="preserve"> P1    </w:t>
      </w:r>
      <w:r w:rsidRPr="00A519E9">
        <w:rPr>
          <w:rFonts w:ascii="ITC New Baskerville Std" w:hAnsi="ITC New Baskerville Std"/>
          <w:sz w:val="30"/>
          <w:szCs w:val="36"/>
        </w:rPr>
        <w:t>Í</w:t>
      </w:r>
      <w:r w:rsidRPr="00A519E9">
        <w:rPr>
          <w:rFonts w:ascii="ITC New Baskerville Std" w:hAnsi="ITC New Baskerville Std"/>
          <w:sz w:val="30"/>
          <w:szCs w:val="24"/>
        </w:rPr>
        <w:t>NDICE</w:t>
      </w:r>
      <w:r w:rsidRPr="00A519E9">
        <w:rPr>
          <w:rFonts w:ascii="ITC New Baskerville Std" w:hAnsi="ITC New Baskerville Std"/>
          <w:sz w:val="30"/>
          <w:szCs w:val="36"/>
        </w:rPr>
        <w:t xml:space="preserve"> </w:t>
      </w:r>
      <w:r w:rsidRPr="00A519E9">
        <w:rPr>
          <w:rFonts w:ascii="ITC New Baskerville Std" w:hAnsi="ITC New Baskerville Std"/>
          <w:sz w:val="30"/>
          <w:szCs w:val="48"/>
        </w:rPr>
        <w:t>0</w:t>
      </w:r>
      <w:r w:rsidR="00291D62" w:rsidRPr="00A519E9">
        <w:rPr>
          <w:rFonts w:ascii="ITC New Baskerville Std" w:hAnsi="ITC New Baskerville Std"/>
          <w:sz w:val="30"/>
          <w:szCs w:val="48"/>
        </w:rPr>
        <w:t>4</w:t>
      </w:r>
    </w:p>
    <w:p w:rsidR="00442A24" w:rsidRPr="00A519E9" w:rsidRDefault="00442A24" w:rsidP="00442A24">
      <w:pPr>
        <w:shd w:val="clear" w:color="auto" w:fill="FFFFFF" w:themeFill="background1"/>
        <w:rPr>
          <w:rFonts w:ascii="ITC New Baskerville Std" w:hAnsi="ITC New Baskerville Std"/>
        </w:rPr>
      </w:pPr>
    </w:p>
    <w:tbl>
      <w:tblPr>
        <w:tblW w:w="8931" w:type="dxa"/>
        <w:tblInd w:w="71" w:type="dxa"/>
        <w:tblBorders>
          <w:top w:val="single" w:sz="12" w:space="0" w:color="000000" w:themeColor="text1"/>
          <w:insideH w:val="single" w:sz="12" w:space="0" w:color="000000" w:themeColor="text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02"/>
        <w:gridCol w:w="330"/>
        <w:gridCol w:w="2802"/>
        <w:gridCol w:w="264"/>
        <w:gridCol w:w="2733"/>
      </w:tblGrid>
      <w:tr w:rsidR="00442A24" w:rsidRPr="00A519E9" w:rsidTr="00DD2DFD">
        <w:trPr>
          <w:trHeight w:val="335"/>
        </w:trPr>
        <w:tc>
          <w:tcPr>
            <w:tcW w:w="2802" w:type="dxa"/>
            <w:shd w:val="clear" w:color="auto" w:fill="auto"/>
          </w:tcPr>
          <w:p w:rsidR="00442A24" w:rsidRPr="00A519E9" w:rsidRDefault="00442A24" w:rsidP="00DD2DFD">
            <w:pPr>
              <w:spacing w:before="60" w:after="60"/>
              <w:rPr>
                <w:rFonts w:ascii="ITC New Baskerville Std" w:hAnsi="ITC New Baskerville Std" w:cstheme="minorHAnsi"/>
                <w:b/>
              </w:rPr>
            </w:pPr>
            <w:r w:rsidRPr="00A519E9">
              <w:rPr>
                <w:rFonts w:ascii="ITC New Baskerville Std" w:hAnsi="ITC New Baskerville Std" w:cstheme="minorHAnsi"/>
                <w:b/>
              </w:rPr>
              <w:t>REDACCIÓN</w:t>
            </w:r>
          </w:p>
        </w:tc>
        <w:tc>
          <w:tcPr>
            <w:tcW w:w="330" w:type="dxa"/>
            <w:shd w:val="clear" w:color="auto" w:fill="auto"/>
          </w:tcPr>
          <w:p w:rsidR="00442A24" w:rsidRPr="00A519E9" w:rsidRDefault="00442A24" w:rsidP="00DD2DFD">
            <w:pPr>
              <w:spacing w:before="60" w:after="60"/>
              <w:rPr>
                <w:rFonts w:ascii="ITC New Baskerville Std" w:hAnsi="ITC New Baskerville Std" w:cstheme="minorHAnsi"/>
                <w:b/>
              </w:rPr>
            </w:pPr>
          </w:p>
        </w:tc>
        <w:tc>
          <w:tcPr>
            <w:tcW w:w="2802" w:type="dxa"/>
            <w:shd w:val="clear" w:color="auto" w:fill="auto"/>
          </w:tcPr>
          <w:p w:rsidR="00442A24" w:rsidRPr="00A519E9" w:rsidRDefault="00442A24" w:rsidP="00DD2DFD">
            <w:pPr>
              <w:spacing w:before="60" w:after="60"/>
              <w:rPr>
                <w:rFonts w:ascii="ITC New Baskerville Std" w:hAnsi="ITC New Baskerville Std" w:cstheme="minorHAnsi"/>
                <w:b/>
              </w:rPr>
            </w:pPr>
            <w:r w:rsidRPr="00A519E9">
              <w:rPr>
                <w:rFonts w:ascii="ITC New Baskerville Std" w:hAnsi="ITC New Baskerville Std" w:cstheme="minorHAnsi"/>
                <w:b/>
              </w:rPr>
              <w:t>VALIDACIÓN</w:t>
            </w:r>
          </w:p>
        </w:tc>
        <w:tc>
          <w:tcPr>
            <w:tcW w:w="264" w:type="dxa"/>
            <w:shd w:val="clear" w:color="auto" w:fill="auto"/>
          </w:tcPr>
          <w:p w:rsidR="00442A24" w:rsidRPr="00A519E9" w:rsidRDefault="00442A24" w:rsidP="00DD2DFD">
            <w:pPr>
              <w:spacing w:before="60" w:after="60"/>
              <w:rPr>
                <w:rFonts w:ascii="ITC New Baskerville Std" w:hAnsi="ITC New Baskerville Std" w:cstheme="minorHAnsi"/>
                <w:b/>
              </w:rPr>
            </w:pPr>
          </w:p>
        </w:tc>
        <w:tc>
          <w:tcPr>
            <w:tcW w:w="2733" w:type="dxa"/>
            <w:shd w:val="clear" w:color="auto" w:fill="auto"/>
          </w:tcPr>
          <w:p w:rsidR="00442A24" w:rsidRPr="00A519E9" w:rsidRDefault="00442A24" w:rsidP="00DD2DFD">
            <w:pPr>
              <w:spacing w:before="60" w:after="60"/>
              <w:rPr>
                <w:rFonts w:ascii="ITC New Baskerville Std" w:hAnsi="ITC New Baskerville Std" w:cstheme="minorHAnsi"/>
                <w:b/>
              </w:rPr>
            </w:pPr>
            <w:r w:rsidRPr="00A519E9">
              <w:rPr>
                <w:rFonts w:ascii="ITC New Baskerville Std" w:hAnsi="ITC New Baskerville Std" w:cstheme="minorHAnsi"/>
                <w:b/>
              </w:rPr>
              <w:t>APROBACIÓN</w:t>
            </w:r>
          </w:p>
        </w:tc>
      </w:tr>
      <w:tr w:rsidR="009616E6" w:rsidRPr="00A519E9" w:rsidTr="00DD2DFD">
        <w:trPr>
          <w:trHeight w:val="454"/>
        </w:trPr>
        <w:tc>
          <w:tcPr>
            <w:tcW w:w="2802" w:type="dxa"/>
            <w:shd w:val="clear" w:color="auto" w:fill="auto"/>
          </w:tcPr>
          <w:p w:rsidR="009616E6" w:rsidRPr="00A519E9" w:rsidRDefault="009616E6" w:rsidP="009616E6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  <w:p w:rsidR="009616E6" w:rsidRPr="00A519E9" w:rsidRDefault="009616E6" w:rsidP="009616E6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  <w:r w:rsidRPr="00A519E9">
              <w:rPr>
                <w:rFonts w:ascii="ITC New Baskerville Std" w:hAnsi="ITC New Baskerville Std"/>
                <w:lang w:val="gl-ES"/>
              </w:rPr>
              <w:t>Área de Apoio á Docencia e Calidade</w:t>
            </w:r>
          </w:p>
          <w:p w:rsidR="009616E6" w:rsidRPr="00A519E9" w:rsidRDefault="009616E6" w:rsidP="009616E6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  <w:p w:rsidR="009616E6" w:rsidRPr="00A519E9" w:rsidRDefault="009616E6" w:rsidP="009616E6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  <w:p w:rsidR="009616E6" w:rsidRPr="00A519E9" w:rsidRDefault="009616E6" w:rsidP="009616E6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  <w:p w:rsidR="009616E6" w:rsidRPr="00A519E9" w:rsidRDefault="009616E6" w:rsidP="009616E6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</w:tc>
        <w:tc>
          <w:tcPr>
            <w:tcW w:w="330" w:type="dxa"/>
            <w:shd w:val="clear" w:color="auto" w:fill="auto"/>
          </w:tcPr>
          <w:p w:rsidR="009616E6" w:rsidRPr="00A519E9" w:rsidRDefault="009616E6" w:rsidP="009616E6">
            <w:pPr>
              <w:rPr>
                <w:rFonts w:ascii="ITC New Baskerville Std" w:hAnsi="ITC New Baskerville Std" w:cs="Arial"/>
                <w:sz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9616E6" w:rsidRPr="006E2045" w:rsidRDefault="009616E6" w:rsidP="009616E6">
            <w:pPr>
              <w:spacing w:after="0" w:line="240" w:lineRule="auto"/>
              <w:rPr>
                <w:rFonts w:ascii="ITC New Baskerville Std" w:eastAsia="Times New Roman" w:hAnsi="ITC New Baskerville Std" w:cs="Arial"/>
                <w:sz w:val="20"/>
                <w:szCs w:val="24"/>
                <w:lang w:eastAsia="fr-FR"/>
              </w:rPr>
            </w:pPr>
          </w:p>
          <w:p w:rsidR="009616E6" w:rsidRPr="006E2045" w:rsidRDefault="009616E6" w:rsidP="009616E6">
            <w:pPr>
              <w:spacing w:after="0" w:line="240" w:lineRule="auto"/>
              <w:rPr>
                <w:rFonts w:ascii="ITC New Baskerville Std" w:eastAsia="Times New Roman" w:hAnsi="ITC New Baskerville Std" w:cs="Arial"/>
                <w:sz w:val="20"/>
                <w:szCs w:val="24"/>
                <w:lang w:eastAsia="fr-FR"/>
              </w:rPr>
            </w:pPr>
            <w:r>
              <w:rPr>
                <w:rFonts w:ascii="ITC New Baskerville Std" w:eastAsia="Times New Roman" w:hAnsi="ITC New Baskerville Std" w:cs="Arial"/>
                <w:sz w:val="20"/>
                <w:szCs w:val="24"/>
                <w:lang w:eastAsia="fr-FR"/>
              </w:rPr>
              <w:t>Comisión de Garantía de Calidade</w:t>
            </w:r>
          </w:p>
          <w:p w:rsidR="009616E6" w:rsidRPr="006E2045" w:rsidRDefault="009616E6" w:rsidP="009616E6">
            <w:pPr>
              <w:spacing w:after="0" w:line="240" w:lineRule="auto"/>
              <w:rPr>
                <w:rFonts w:ascii="ITC New Baskerville Std" w:eastAsia="Times New Roman" w:hAnsi="ITC New Baskerville Std" w:cs="Arial"/>
                <w:sz w:val="20"/>
                <w:szCs w:val="24"/>
                <w:lang w:eastAsia="fr-FR"/>
              </w:rPr>
            </w:pPr>
          </w:p>
        </w:tc>
        <w:tc>
          <w:tcPr>
            <w:tcW w:w="264" w:type="dxa"/>
            <w:shd w:val="clear" w:color="auto" w:fill="auto"/>
          </w:tcPr>
          <w:p w:rsidR="009616E6" w:rsidRPr="00A519E9" w:rsidRDefault="009616E6" w:rsidP="009616E6">
            <w:pPr>
              <w:rPr>
                <w:rFonts w:ascii="ITC New Baskerville Std" w:hAnsi="ITC New Baskerville Std" w:cs="Arial"/>
                <w:sz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9616E6" w:rsidRPr="00A519E9" w:rsidRDefault="009616E6" w:rsidP="009616E6">
            <w:pPr>
              <w:pStyle w:val="Approbateur"/>
              <w:jc w:val="left"/>
              <w:rPr>
                <w:rFonts w:ascii="ITC New Baskerville Std" w:hAnsi="ITC New Baskerville Std"/>
                <w:lang w:val="gl-ES"/>
              </w:rPr>
            </w:pPr>
          </w:p>
          <w:p w:rsidR="009616E6" w:rsidRPr="00A519E9" w:rsidRDefault="009616E6" w:rsidP="009616E6">
            <w:pPr>
              <w:pStyle w:val="Approbateur"/>
              <w:jc w:val="left"/>
              <w:rPr>
                <w:rFonts w:ascii="ITC New Baskerville Std" w:hAnsi="ITC New Baskerville Std"/>
                <w:lang w:val="gl-ES"/>
              </w:rPr>
            </w:pPr>
            <w:r w:rsidRPr="00A519E9">
              <w:rPr>
                <w:rFonts w:ascii="ITC New Baskerville Std" w:hAnsi="ITC New Baskerville Std"/>
                <w:lang w:val="gl-ES"/>
              </w:rPr>
              <w:t>X</w:t>
            </w:r>
            <w:r>
              <w:rPr>
                <w:rFonts w:ascii="ITC New Baskerville Std" w:hAnsi="ITC New Baskerville Std"/>
                <w:lang w:val="gl-ES"/>
              </w:rPr>
              <w:t>unta de centro</w:t>
            </w:r>
          </w:p>
        </w:tc>
      </w:tr>
      <w:tr w:rsidR="00442A24" w:rsidRPr="00A519E9" w:rsidTr="00DD2DFD">
        <w:trPr>
          <w:trHeight w:hRule="exact" w:val="421"/>
        </w:trPr>
        <w:tc>
          <w:tcPr>
            <w:tcW w:w="2802" w:type="dxa"/>
            <w:shd w:val="clear" w:color="auto" w:fill="auto"/>
          </w:tcPr>
          <w:p w:rsidR="00442A24" w:rsidRPr="00A519E9" w:rsidRDefault="00442A24" w:rsidP="00094E2D">
            <w:pPr>
              <w:spacing w:before="60" w:after="60"/>
              <w:rPr>
                <w:rFonts w:ascii="ITC New Baskerville Std" w:hAnsi="ITC New Baskerville Std" w:cstheme="minorHAnsi"/>
              </w:rPr>
            </w:pPr>
            <w:r w:rsidRPr="00A519E9">
              <w:rPr>
                <w:rFonts w:ascii="ITC New Baskerville Std" w:hAnsi="ITC New Baskerville Std" w:cstheme="minorHAnsi"/>
              </w:rPr>
              <w:t>D</w:t>
            </w:r>
            <w:r w:rsidR="00094E2D" w:rsidRPr="00A519E9">
              <w:rPr>
                <w:rFonts w:ascii="ITC New Baskerville Std" w:hAnsi="ITC New Baskerville Std" w:cstheme="minorHAnsi"/>
              </w:rPr>
              <w:t>ata e sinatura</w:t>
            </w:r>
          </w:p>
        </w:tc>
        <w:tc>
          <w:tcPr>
            <w:tcW w:w="330" w:type="dxa"/>
            <w:shd w:val="clear" w:color="auto" w:fill="auto"/>
          </w:tcPr>
          <w:p w:rsidR="00442A24" w:rsidRPr="00A519E9" w:rsidRDefault="00442A24" w:rsidP="00DD2DFD">
            <w:pPr>
              <w:rPr>
                <w:rFonts w:ascii="ITC New Baskerville Std" w:hAnsi="ITC New Baskerville Std"/>
              </w:rPr>
            </w:pPr>
          </w:p>
        </w:tc>
        <w:tc>
          <w:tcPr>
            <w:tcW w:w="2802" w:type="dxa"/>
            <w:shd w:val="clear" w:color="auto" w:fill="auto"/>
          </w:tcPr>
          <w:p w:rsidR="00442A24" w:rsidRPr="00A519E9" w:rsidRDefault="00094E2D" w:rsidP="00DD2DFD">
            <w:pPr>
              <w:spacing w:before="60" w:after="60"/>
              <w:rPr>
                <w:rFonts w:ascii="ITC New Baskerville Std" w:hAnsi="ITC New Baskerville Std" w:cstheme="minorHAnsi"/>
              </w:rPr>
            </w:pPr>
            <w:r w:rsidRPr="00A519E9">
              <w:rPr>
                <w:rFonts w:ascii="ITC New Baskerville Std" w:hAnsi="ITC New Baskerville Std" w:cstheme="minorHAnsi"/>
              </w:rPr>
              <w:t>Data e sinatura</w:t>
            </w:r>
          </w:p>
        </w:tc>
        <w:tc>
          <w:tcPr>
            <w:tcW w:w="264" w:type="dxa"/>
            <w:shd w:val="clear" w:color="auto" w:fill="auto"/>
          </w:tcPr>
          <w:p w:rsidR="00442A24" w:rsidRPr="00A519E9" w:rsidRDefault="00442A24" w:rsidP="00DD2DFD">
            <w:pPr>
              <w:rPr>
                <w:rFonts w:ascii="ITC New Baskerville Std" w:hAnsi="ITC New Baskerville Std"/>
              </w:rPr>
            </w:pPr>
          </w:p>
        </w:tc>
        <w:tc>
          <w:tcPr>
            <w:tcW w:w="2733" w:type="dxa"/>
            <w:shd w:val="clear" w:color="auto" w:fill="auto"/>
          </w:tcPr>
          <w:p w:rsidR="00442A24" w:rsidRPr="00A519E9" w:rsidRDefault="00094E2D" w:rsidP="00DD2DFD">
            <w:pPr>
              <w:rPr>
                <w:rFonts w:ascii="ITC New Baskerville Std" w:hAnsi="ITC New Baskerville Std" w:cstheme="minorHAnsi"/>
              </w:rPr>
            </w:pPr>
            <w:r w:rsidRPr="00A519E9">
              <w:rPr>
                <w:rFonts w:ascii="ITC New Baskerville Std" w:hAnsi="ITC New Baskerville Std" w:cstheme="minorHAnsi"/>
              </w:rPr>
              <w:t xml:space="preserve">Data e sinatura </w:t>
            </w:r>
          </w:p>
          <w:p w:rsidR="00442A24" w:rsidRPr="00A519E9" w:rsidRDefault="00442A24" w:rsidP="00DD2DFD">
            <w:pPr>
              <w:rPr>
                <w:rFonts w:ascii="ITC New Baskerville Std" w:hAnsi="ITC New Baskerville Std" w:cstheme="minorHAnsi"/>
              </w:rPr>
            </w:pPr>
          </w:p>
          <w:p w:rsidR="00442A24" w:rsidRPr="00A519E9" w:rsidRDefault="00442A24" w:rsidP="00DD2DFD">
            <w:pPr>
              <w:rPr>
                <w:rFonts w:ascii="ITC New Baskerville Std" w:hAnsi="ITC New Baskerville Std" w:cstheme="minorHAnsi"/>
              </w:rPr>
            </w:pPr>
          </w:p>
          <w:p w:rsidR="00442A24" w:rsidRPr="00A519E9" w:rsidRDefault="00442A24" w:rsidP="00DD2DFD">
            <w:pPr>
              <w:rPr>
                <w:rFonts w:ascii="ITC New Baskerville Std" w:hAnsi="ITC New Baskerville Std" w:cstheme="minorHAnsi"/>
              </w:rPr>
            </w:pPr>
          </w:p>
          <w:p w:rsidR="00442A24" w:rsidRPr="00A519E9" w:rsidRDefault="00442A24" w:rsidP="00DD2DFD">
            <w:pPr>
              <w:rPr>
                <w:rFonts w:ascii="ITC New Baskerville Std" w:hAnsi="ITC New Baskerville Std" w:cstheme="minorHAnsi"/>
              </w:rPr>
            </w:pPr>
          </w:p>
          <w:p w:rsidR="00442A24" w:rsidRPr="00A519E9" w:rsidRDefault="00442A24" w:rsidP="00DD2DFD">
            <w:pPr>
              <w:rPr>
                <w:rFonts w:ascii="ITC New Baskerville Std" w:hAnsi="ITC New Baskerville Std" w:cstheme="minorHAnsi"/>
              </w:rPr>
            </w:pPr>
          </w:p>
          <w:p w:rsidR="00442A24" w:rsidRPr="00A519E9" w:rsidRDefault="00442A24" w:rsidP="00DD2DFD">
            <w:pPr>
              <w:rPr>
                <w:rFonts w:ascii="ITC New Baskerville Std" w:hAnsi="ITC New Baskerville Std" w:cstheme="minorHAnsi"/>
              </w:rPr>
            </w:pPr>
            <w:r w:rsidRPr="00A519E9">
              <w:rPr>
                <w:rFonts w:ascii="ITC New Baskerville Std" w:hAnsi="ITC New Baskerville Std" w:cstheme="minorHAnsi"/>
              </w:rPr>
              <w:t>fffffff</w:t>
            </w:r>
          </w:p>
          <w:p w:rsidR="00442A24" w:rsidRPr="00A519E9" w:rsidRDefault="00442A24" w:rsidP="00DD2DFD">
            <w:pPr>
              <w:rPr>
                <w:rFonts w:ascii="ITC New Baskerville Std" w:hAnsi="ITC New Baskerville Std" w:cstheme="minorHAnsi"/>
              </w:rPr>
            </w:pPr>
          </w:p>
          <w:p w:rsidR="00442A24" w:rsidRPr="00A519E9" w:rsidRDefault="00442A24" w:rsidP="00DD2DFD">
            <w:pPr>
              <w:rPr>
                <w:rFonts w:ascii="ITC New Baskerville Std" w:hAnsi="ITC New Baskerville Std"/>
              </w:rPr>
            </w:pPr>
          </w:p>
        </w:tc>
      </w:tr>
    </w:tbl>
    <w:p w:rsidR="00442A24" w:rsidRPr="00A519E9" w:rsidRDefault="00442A24" w:rsidP="00442A24">
      <w:pPr>
        <w:jc w:val="center"/>
        <w:rPr>
          <w:rFonts w:ascii="ITC New Baskerville Std" w:hAnsi="ITC New Baskerville Std"/>
        </w:rPr>
      </w:pPr>
    </w:p>
    <w:p w:rsidR="00442A24" w:rsidRPr="00A519E9" w:rsidRDefault="00442A24" w:rsidP="00442A24">
      <w:pPr>
        <w:rPr>
          <w:rFonts w:ascii="ITC New Baskerville Std" w:hAnsi="ITC New Baskerville Std"/>
        </w:rPr>
      </w:pPr>
    </w:p>
    <w:p w:rsidR="00442A24" w:rsidRPr="00A519E9" w:rsidRDefault="00442A24" w:rsidP="00442A24">
      <w:pPr>
        <w:jc w:val="center"/>
        <w:rPr>
          <w:rFonts w:ascii="ITC New Baskerville Std" w:hAnsi="ITC New Baskerville Std"/>
        </w:rPr>
        <w:sectPr w:rsidR="00442A24" w:rsidRPr="00A519E9" w:rsidSect="00DD2D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6" w:bottom="851" w:left="1560" w:header="708" w:footer="2197" w:gutter="0"/>
          <w:cols w:space="708"/>
          <w:docGrid w:linePitch="360"/>
        </w:sectPr>
      </w:pPr>
    </w:p>
    <w:p w:rsidR="00442A24" w:rsidRPr="00A519E9" w:rsidRDefault="00442A24" w:rsidP="00442A24">
      <w:pPr>
        <w:pBdr>
          <w:top w:val="single" w:sz="18" w:space="1" w:color="auto"/>
        </w:pBdr>
        <w:rPr>
          <w:rFonts w:ascii="ITC New Baskerville Std" w:hAnsi="ITC New Baskerville Std"/>
          <w:sz w:val="32"/>
          <w:szCs w:val="36"/>
        </w:rPr>
      </w:pPr>
      <w:r w:rsidRPr="00A519E9">
        <w:rPr>
          <w:rFonts w:ascii="ITC New Baskerville Std" w:hAnsi="ITC New Baskerville Std"/>
          <w:sz w:val="32"/>
          <w:szCs w:val="36"/>
        </w:rPr>
        <w:lastRenderedPageBreak/>
        <w:t>Proceso</w:t>
      </w:r>
    </w:p>
    <w:p w:rsidR="00442A24" w:rsidRPr="00A519E9" w:rsidRDefault="00291D62" w:rsidP="00291D62">
      <w:pPr>
        <w:rPr>
          <w:rFonts w:ascii="ITC New Baskerville Std" w:hAnsi="ITC New Baskerville Std" w:cs="Times New Roman"/>
        </w:rPr>
      </w:pPr>
      <w:r w:rsidRPr="00A519E9">
        <w:rPr>
          <w:rFonts w:ascii="ITC New Baskerville Std" w:hAnsi="ITC New Baskerville Std"/>
        </w:rPr>
        <w:t>Planificación e desenvolvemento do ensino</w:t>
      </w:r>
      <w:r w:rsidR="00196461" w:rsidRPr="00A519E9">
        <w:rPr>
          <w:rFonts w:ascii="ITC New Baskerville Std" w:hAnsi="ITC New Baskerville Std"/>
        </w:rPr>
        <w:t>.</w:t>
      </w:r>
    </w:p>
    <w:p w:rsidR="00442A24" w:rsidRPr="00A519E9" w:rsidRDefault="00442A24" w:rsidP="00442A24">
      <w:pPr>
        <w:ind w:left="-284"/>
        <w:rPr>
          <w:rFonts w:ascii="ITC New Baskerville Std" w:hAnsi="ITC New Baskerville Std"/>
          <w:b/>
        </w:rPr>
      </w:pPr>
    </w:p>
    <w:p w:rsidR="00442A24" w:rsidRPr="00A519E9" w:rsidRDefault="00442A24" w:rsidP="00442A24">
      <w:pPr>
        <w:pBdr>
          <w:top w:val="single" w:sz="18" w:space="1" w:color="auto"/>
        </w:pBdr>
        <w:rPr>
          <w:rFonts w:ascii="ITC New Baskerville Std" w:hAnsi="ITC New Baskerville Std"/>
          <w:sz w:val="32"/>
          <w:szCs w:val="36"/>
        </w:rPr>
      </w:pPr>
      <w:r w:rsidRPr="00A519E9">
        <w:rPr>
          <w:rFonts w:ascii="ITC New Baskerville Std" w:hAnsi="ITC New Baskerville Std"/>
          <w:sz w:val="32"/>
          <w:szCs w:val="36"/>
        </w:rPr>
        <w:t>Histórico de evolucións</w:t>
      </w:r>
    </w:p>
    <w:tbl>
      <w:tblPr>
        <w:tblStyle w:val="Tablaconcuadrcula"/>
        <w:tblW w:w="9645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19"/>
        <w:gridCol w:w="1287"/>
        <w:gridCol w:w="18"/>
        <w:gridCol w:w="1916"/>
        <w:gridCol w:w="147"/>
        <w:gridCol w:w="5103"/>
        <w:gridCol w:w="131"/>
        <w:gridCol w:w="16"/>
      </w:tblGrid>
      <w:tr w:rsidR="00442A24" w:rsidRPr="00A519E9" w:rsidTr="00DD2DFD">
        <w:tc>
          <w:tcPr>
            <w:tcW w:w="1008" w:type="dxa"/>
            <w:shd w:val="clear" w:color="auto" w:fill="FFFFFF" w:themeFill="background1"/>
            <w:vAlign w:val="center"/>
          </w:tcPr>
          <w:p w:rsidR="00442A24" w:rsidRPr="00A519E9" w:rsidRDefault="00442A24" w:rsidP="00DD2DFD">
            <w:pPr>
              <w:rPr>
                <w:rFonts w:ascii="ITC New Baskerville Std" w:hAnsi="ITC New Baskerville Std"/>
              </w:rPr>
            </w:pPr>
            <w:r w:rsidRPr="00A519E9">
              <w:rPr>
                <w:rFonts w:ascii="ITC New Baskerville Std" w:hAnsi="ITC New Baskerville Std"/>
              </w:rPr>
              <w:t>ÍNDICE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vAlign w:val="center"/>
          </w:tcPr>
          <w:p w:rsidR="00442A24" w:rsidRPr="00A519E9" w:rsidRDefault="00442A24" w:rsidP="00DD2DFD">
            <w:pPr>
              <w:rPr>
                <w:rFonts w:ascii="ITC New Baskerville Std" w:hAnsi="ITC New Baskerville Std"/>
              </w:rPr>
            </w:pPr>
            <w:r w:rsidRPr="00A519E9">
              <w:rPr>
                <w:rFonts w:ascii="ITC New Baskerville Std" w:hAnsi="ITC New Baskerville Std"/>
              </w:rPr>
              <w:t>DATA</w:t>
            </w:r>
          </w:p>
        </w:tc>
        <w:tc>
          <w:tcPr>
            <w:tcW w:w="2081" w:type="dxa"/>
            <w:gridSpan w:val="3"/>
            <w:shd w:val="clear" w:color="auto" w:fill="FFFFFF" w:themeFill="background1"/>
            <w:vAlign w:val="center"/>
          </w:tcPr>
          <w:p w:rsidR="00442A24" w:rsidRPr="00A519E9" w:rsidRDefault="00442A24" w:rsidP="00DD2DFD">
            <w:pPr>
              <w:rPr>
                <w:rFonts w:ascii="ITC New Baskerville Std" w:hAnsi="ITC New Baskerville Std"/>
              </w:rPr>
            </w:pPr>
            <w:r w:rsidRPr="00A519E9">
              <w:rPr>
                <w:rFonts w:ascii="ITC New Baskerville Std" w:hAnsi="ITC New Baskerville Std"/>
              </w:rPr>
              <w:t>REDACCIÓN</w:t>
            </w:r>
          </w:p>
        </w:tc>
        <w:tc>
          <w:tcPr>
            <w:tcW w:w="5250" w:type="dxa"/>
            <w:gridSpan w:val="3"/>
            <w:shd w:val="clear" w:color="auto" w:fill="FFFFFF" w:themeFill="background1"/>
            <w:vAlign w:val="center"/>
          </w:tcPr>
          <w:p w:rsidR="00442A24" w:rsidRPr="00A519E9" w:rsidRDefault="00442A24" w:rsidP="00DD2DFD">
            <w:pPr>
              <w:rPr>
                <w:rFonts w:ascii="ITC New Baskerville Std" w:hAnsi="ITC New Baskerville Std"/>
              </w:rPr>
            </w:pPr>
            <w:r w:rsidRPr="00A519E9">
              <w:rPr>
                <w:rFonts w:ascii="ITC New Baskerville Std" w:hAnsi="ITC New Baskerville Std"/>
              </w:rPr>
              <w:t>MOTIVO DAS PRINCIPAIS MODIFICACIÓNS</w:t>
            </w:r>
          </w:p>
        </w:tc>
      </w:tr>
      <w:tr w:rsidR="00291D62" w:rsidRPr="00A519E9" w:rsidTr="00991128">
        <w:trPr>
          <w:gridAfter w:val="1"/>
          <w:wAfter w:w="16" w:type="dxa"/>
        </w:trPr>
        <w:tc>
          <w:tcPr>
            <w:tcW w:w="10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62" w:rsidRPr="00A519E9" w:rsidRDefault="00291D62" w:rsidP="00991128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A519E9">
              <w:rPr>
                <w:rFonts w:ascii="ITC New Baskerville Std" w:hAnsi="ITC New Baskerville Std"/>
                <w:sz w:val="20"/>
                <w:szCs w:val="20"/>
              </w:rPr>
              <w:t>00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62" w:rsidRPr="00A519E9" w:rsidRDefault="00291D62" w:rsidP="00991128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A519E9">
              <w:rPr>
                <w:rFonts w:ascii="ITC New Baskerville Std" w:hAnsi="ITC New Baskerville Std"/>
                <w:sz w:val="20"/>
                <w:szCs w:val="20"/>
              </w:rPr>
              <w:t>15/05/2008</w:t>
            </w:r>
          </w:p>
        </w:tc>
        <w:tc>
          <w:tcPr>
            <w:tcW w:w="20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62" w:rsidRPr="00A519E9" w:rsidRDefault="00291D62" w:rsidP="00991128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A519E9">
              <w:rPr>
                <w:rFonts w:ascii="ITC New Baskerville Std" w:hAnsi="ITC New Baskerville Std"/>
                <w:sz w:val="20"/>
                <w:szCs w:val="20"/>
              </w:rPr>
              <w:t>Área de Calidade</w:t>
            </w:r>
          </w:p>
        </w:tc>
        <w:tc>
          <w:tcPr>
            <w:tcW w:w="52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62" w:rsidRPr="00A519E9" w:rsidRDefault="00291D62" w:rsidP="009F186E">
            <w:pPr>
              <w:jc w:val="both"/>
              <w:rPr>
                <w:rFonts w:ascii="ITC New Baskerville Std" w:hAnsi="ITC New Baskerville Std"/>
                <w:sz w:val="20"/>
                <w:szCs w:val="20"/>
              </w:rPr>
            </w:pPr>
            <w:r w:rsidRPr="00A519E9">
              <w:rPr>
                <w:rFonts w:ascii="ITC New Baskerville Std" w:hAnsi="ITC New Baskerville Std"/>
                <w:sz w:val="20"/>
                <w:szCs w:val="20"/>
              </w:rPr>
              <w:t>Creación do procedemento PC</w:t>
            </w:r>
            <w:r w:rsidR="009616E6">
              <w:rPr>
                <w:rFonts w:ascii="ITC New Baskerville Std" w:hAnsi="ITC New Baskerville Std"/>
                <w:sz w:val="20"/>
                <w:szCs w:val="20"/>
              </w:rPr>
              <w:t>08</w:t>
            </w:r>
            <w:r w:rsidRPr="00A519E9">
              <w:rPr>
                <w:rFonts w:ascii="ITC New Baskerville Std" w:hAnsi="ITC New Baskerville Std"/>
                <w:sz w:val="20"/>
                <w:szCs w:val="20"/>
              </w:rPr>
              <w:t xml:space="preserve"> «</w:t>
            </w:r>
            <w:r w:rsidR="002A5F8D" w:rsidRPr="00A519E9">
              <w:rPr>
                <w:rFonts w:ascii="ITC New Baskerville Std" w:hAnsi="ITC New Baskerville Std"/>
                <w:sz w:val="20"/>
                <w:szCs w:val="20"/>
              </w:rPr>
              <w:t xml:space="preserve">Xestión e </w:t>
            </w:r>
            <w:r w:rsidR="009616E6">
              <w:rPr>
                <w:rFonts w:ascii="ITC New Baskerville Std" w:hAnsi="ITC New Baskerville Std"/>
                <w:sz w:val="20"/>
                <w:szCs w:val="20"/>
              </w:rPr>
              <w:t>r</w:t>
            </w:r>
            <w:r w:rsidR="002A5F8D" w:rsidRPr="00A519E9">
              <w:rPr>
                <w:rFonts w:ascii="ITC New Baskerville Std" w:hAnsi="ITC New Baskerville Std"/>
                <w:sz w:val="20"/>
                <w:szCs w:val="20"/>
              </w:rPr>
              <w:t>evisión da</w:t>
            </w:r>
            <w:r w:rsidR="009616E6">
              <w:rPr>
                <w:rFonts w:ascii="ITC New Baskerville Std" w:hAnsi="ITC New Baskerville Std"/>
                <w:sz w:val="20"/>
                <w:szCs w:val="20"/>
              </w:rPr>
              <w:t xml:space="preserve"> mobilidade de estudantes enviados(as)</w:t>
            </w:r>
            <w:r w:rsidRPr="00A519E9">
              <w:rPr>
                <w:rFonts w:ascii="ITC New Baskerville Std" w:hAnsi="ITC New Baskerville Std"/>
                <w:sz w:val="20"/>
                <w:szCs w:val="20"/>
              </w:rPr>
              <w:t>»</w:t>
            </w:r>
            <w:r w:rsidR="009616E6">
              <w:rPr>
                <w:rFonts w:ascii="ITC New Baskerville Std" w:hAnsi="ITC New Baskerville Std"/>
                <w:sz w:val="20"/>
                <w:szCs w:val="20"/>
              </w:rPr>
              <w:t xml:space="preserve"> e </w:t>
            </w:r>
            <w:r w:rsidR="009616E6" w:rsidRPr="00A519E9">
              <w:rPr>
                <w:rFonts w:ascii="ITC New Baskerville Std" w:hAnsi="ITC New Baskerville Std"/>
                <w:sz w:val="20"/>
                <w:szCs w:val="20"/>
              </w:rPr>
              <w:t>PC</w:t>
            </w:r>
            <w:r w:rsidR="009616E6">
              <w:rPr>
                <w:rFonts w:ascii="ITC New Baskerville Std" w:hAnsi="ITC New Baskerville Std"/>
                <w:sz w:val="20"/>
                <w:szCs w:val="20"/>
              </w:rPr>
              <w:t>09</w:t>
            </w:r>
            <w:r w:rsidR="009616E6" w:rsidRPr="00A519E9">
              <w:rPr>
                <w:rFonts w:ascii="ITC New Baskerville Std" w:hAnsi="ITC New Baskerville Std"/>
                <w:sz w:val="20"/>
                <w:szCs w:val="20"/>
              </w:rPr>
              <w:t xml:space="preserve"> «Xestión e </w:t>
            </w:r>
            <w:r w:rsidR="009616E6">
              <w:rPr>
                <w:rFonts w:ascii="ITC New Baskerville Std" w:hAnsi="ITC New Baskerville Std"/>
                <w:sz w:val="20"/>
                <w:szCs w:val="20"/>
              </w:rPr>
              <w:t>r</w:t>
            </w:r>
            <w:r w:rsidR="009616E6" w:rsidRPr="00A519E9">
              <w:rPr>
                <w:rFonts w:ascii="ITC New Baskerville Std" w:hAnsi="ITC New Baskerville Std"/>
                <w:sz w:val="20"/>
                <w:szCs w:val="20"/>
              </w:rPr>
              <w:t>evisión da</w:t>
            </w:r>
            <w:r w:rsidR="009616E6">
              <w:rPr>
                <w:rFonts w:ascii="ITC New Baskerville Std" w:hAnsi="ITC New Baskerville Std"/>
                <w:sz w:val="20"/>
                <w:szCs w:val="20"/>
              </w:rPr>
              <w:t xml:space="preserve"> mob</w:t>
            </w:r>
            <w:r w:rsidR="009F186E">
              <w:rPr>
                <w:rFonts w:ascii="ITC New Baskerville Std" w:hAnsi="ITC New Baskerville Std"/>
                <w:sz w:val="20"/>
                <w:szCs w:val="20"/>
              </w:rPr>
              <w:t>ilidade de estudantes recibidos</w:t>
            </w:r>
            <w:r w:rsidR="009616E6">
              <w:rPr>
                <w:rFonts w:ascii="ITC New Baskerville Std" w:hAnsi="ITC New Baskerville Std"/>
                <w:sz w:val="20"/>
                <w:szCs w:val="20"/>
              </w:rPr>
              <w:t>(as)</w:t>
            </w:r>
            <w:r w:rsidR="009616E6" w:rsidRPr="00A519E9">
              <w:rPr>
                <w:rFonts w:ascii="ITC New Baskerville Std" w:hAnsi="ITC New Baskerville Std"/>
                <w:sz w:val="20"/>
                <w:szCs w:val="20"/>
              </w:rPr>
              <w:t>»</w:t>
            </w:r>
            <w:r w:rsidRPr="00A519E9">
              <w:rPr>
                <w:rFonts w:ascii="ITC New Baskerville Std" w:hAnsi="ITC New Baskerville Std"/>
                <w:sz w:val="20"/>
                <w:szCs w:val="20"/>
              </w:rPr>
              <w:t xml:space="preserve"> (documentación marco).</w:t>
            </w:r>
          </w:p>
        </w:tc>
      </w:tr>
      <w:tr w:rsidR="00291D62" w:rsidRPr="00A519E9" w:rsidTr="00991128">
        <w:trPr>
          <w:gridAfter w:val="1"/>
          <w:wAfter w:w="16" w:type="dxa"/>
        </w:trPr>
        <w:tc>
          <w:tcPr>
            <w:tcW w:w="10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62" w:rsidRPr="00A519E9" w:rsidRDefault="00291D62" w:rsidP="00991128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A519E9">
              <w:rPr>
                <w:rFonts w:ascii="ITC New Baskerville Std" w:hAnsi="ITC New Baskerville Std"/>
                <w:sz w:val="20"/>
                <w:szCs w:val="20"/>
              </w:rPr>
              <w:t>01-03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62" w:rsidRPr="00A519E9" w:rsidRDefault="00291D62" w:rsidP="00991128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A519E9">
              <w:rPr>
                <w:rFonts w:ascii="ITC New Baskerville Std" w:hAnsi="ITC New Baskerville Std"/>
                <w:sz w:val="20"/>
                <w:szCs w:val="20"/>
              </w:rPr>
              <w:t>2008-2011</w:t>
            </w:r>
          </w:p>
        </w:tc>
        <w:tc>
          <w:tcPr>
            <w:tcW w:w="20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62" w:rsidRPr="00A519E9" w:rsidRDefault="00291D62" w:rsidP="009F186E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A519E9">
              <w:rPr>
                <w:rFonts w:ascii="ITC New Baskerville Std" w:hAnsi="ITC New Baskerville Std"/>
                <w:sz w:val="20"/>
                <w:szCs w:val="20"/>
              </w:rPr>
              <w:t xml:space="preserve">Comisións de </w:t>
            </w:r>
            <w:r w:rsidR="009F186E">
              <w:rPr>
                <w:rFonts w:ascii="ITC New Baskerville Std" w:hAnsi="ITC New Baskerville Std"/>
                <w:sz w:val="20"/>
                <w:szCs w:val="20"/>
              </w:rPr>
              <w:t>g</w:t>
            </w:r>
            <w:r w:rsidRPr="00A519E9">
              <w:rPr>
                <w:rFonts w:ascii="ITC New Baskerville Std" w:hAnsi="ITC New Baskerville Std"/>
                <w:sz w:val="20"/>
                <w:szCs w:val="20"/>
              </w:rPr>
              <w:t xml:space="preserve">arantía de </w:t>
            </w:r>
            <w:r w:rsidR="009F186E">
              <w:rPr>
                <w:rFonts w:ascii="ITC New Baskerville Std" w:hAnsi="ITC New Baskerville Std"/>
                <w:sz w:val="20"/>
                <w:szCs w:val="20"/>
              </w:rPr>
              <w:t>c</w:t>
            </w:r>
            <w:r w:rsidRPr="00A519E9">
              <w:rPr>
                <w:rFonts w:ascii="ITC New Baskerville Std" w:hAnsi="ITC New Baskerville Std"/>
                <w:sz w:val="20"/>
                <w:szCs w:val="20"/>
              </w:rPr>
              <w:t xml:space="preserve">alidade dos </w:t>
            </w:r>
            <w:r w:rsidR="009F186E">
              <w:rPr>
                <w:rFonts w:ascii="ITC New Baskerville Std" w:hAnsi="ITC New Baskerville Std"/>
                <w:sz w:val="20"/>
                <w:szCs w:val="20"/>
              </w:rPr>
              <w:t>c</w:t>
            </w:r>
            <w:r w:rsidRPr="00A519E9">
              <w:rPr>
                <w:rFonts w:ascii="ITC New Baskerville Std" w:hAnsi="ITC New Baskerville Std"/>
                <w:sz w:val="20"/>
                <w:szCs w:val="20"/>
              </w:rPr>
              <w:t>entros</w:t>
            </w:r>
          </w:p>
        </w:tc>
        <w:tc>
          <w:tcPr>
            <w:tcW w:w="52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62" w:rsidRPr="00A519E9" w:rsidRDefault="00291D62" w:rsidP="00291D62">
            <w:pPr>
              <w:jc w:val="both"/>
              <w:rPr>
                <w:rFonts w:ascii="ITC New Baskerville Std" w:hAnsi="ITC New Baskerville Std"/>
                <w:sz w:val="20"/>
                <w:szCs w:val="20"/>
              </w:rPr>
            </w:pPr>
            <w:r w:rsidRPr="00A519E9">
              <w:rPr>
                <w:rFonts w:ascii="ITC New Baskerville Std" w:hAnsi="ITC New Baskerville Std"/>
                <w:sz w:val="20"/>
                <w:szCs w:val="20"/>
              </w:rPr>
              <w:t>Intervalo de modificacións realizadas polos centros baseadas fundamentalmente nas recomendacións establecidas nos informes de avaliación dos sistemas de calidade, remitidos desde a ACSUG.</w:t>
            </w:r>
          </w:p>
        </w:tc>
      </w:tr>
      <w:tr w:rsidR="00291D62" w:rsidRPr="00A519E9" w:rsidTr="00991128">
        <w:trPr>
          <w:gridAfter w:val="1"/>
          <w:wAfter w:w="16" w:type="dxa"/>
        </w:trPr>
        <w:tc>
          <w:tcPr>
            <w:tcW w:w="10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62" w:rsidRPr="00A519E9" w:rsidRDefault="00291D62" w:rsidP="00991128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A519E9">
              <w:rPr>
                <w:rFonts w:ascii="ITC New Baskerville Std" w:hAnsi="ITC New Baskerville Std"/>
                <w:sz w:val="20"/>
                <w:szCs w:val="20"/>
              </w:rPr>
              <w:t>04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62" w:rsidRPr="00A519E9" w:rsidRDefault="00D8132A" w:rsidP="000D0D9D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A519E9">
              <w:rPr>
                <w:rFonts w:ascii="ITC New Baskerville Std" w:hAnsi="ITC New Baskerville Std"/>
                <w:sz w:val="20"/>
                <w:szCs w:val="20"/>
              </w:rPr>
              <w:t>2</w:t>
            </w:r>
            <w:r w:rsidR="000D0D9D">
              <w:rPr>
                <w:rFonts w:ascii="ITC New Baskerville Std" w:hAnsi="ITC New Baskerville Std"/>
                <w:sz w:val="20"/>
                <w:szCs w:val="20"/>
              </w:rPr>
              <w:t>4</w:t>
            </w:r>
            <w:r w:rsidR="00291D62" w:rsidRPr="00A519E9">
              <w:rPr>
                <w:rFonts w:ascii="ITC New Baskerville Std" w:hAnsi="ITC New Baskerville Std"/>
                <w:sz w:val="20"/>
                <w:szCs w:val="20"/>
              </w:rPr>
              <w:t>/0</w:t>
            </w:r>
            <w:r w:rsidR="000D0D9D">
              <w:rPr>
                <w:rFonts w:ascii="ITC New Baskerville Std" w:hAnsi="ITC New Baskerville Std"/>
                <w:sz w:val="20"/>
                <w:szCs w:val="20"/>
              </w:rPr>
              <w:t>4</w:t>
            </w:r>
            <w:r w:rsidR="00291D62" w:rsidRPr="00A519E9">
              <w:rPr>
                <w:rFonts w:ascii="ITC New Baskerville Std" w:hAnsi="ITC New Baskerville Std"/>
                <w:sz w:val="20"/>
                <w:szCs w:val="20"/>
              </w:rPr>
              <w:t>/201</w:t>
            </w:r>
            <w:r w:rsidRPr="00A519E9">
              <w:rPr>
                <w:rFonts w:ascii="ITC New Baskerville Std" w:hAnsi="ITC New Baskerville Std"/>
                <w:sz w:val="20"/>
                <w:szCs w:val="20"/>
              </w:rPr>
              <w:t>3</w:t>
            </w:r>
          </w:p>
        </w:tc>
        <w:tc>
          <w:tcPr>
            <w:tcW w:w="20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62" w:rsidRPr="00A519E9" w:rsidRDefault="00291D62" w:rsidP="00991128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A519E9">
              <w:rPr>
                <w:rFonts w:ascii="ITC New Baskerville Std" w:hAnsi="ITC New Baskerville Std"/>
                <w:sz w:val="20"/>
                <w:szCs w:val="20"/>
              </w:rPr>
              <w:t>Raquel Gandón e</w:t>
            </w:r>
          </w:p>
          <w:p w:rsidR="00291D62" w:rsidRPr="00A519E9" w:rsidRDefault="00291D62" w:rsidP="009616E6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A519E9">
              <w:rPr>
                <w:rFonts w:ascii="ITC New Baskerville Std" w:hAnsi="ITC New Baskerville Std"/>
                <w:sz w:val="20"/>
                <w:szCs w:val="20"/>
              </w:rPr>
              <w:t xml:space="preserve">José Miguel </w:t>
            </w:r>
            <w:r w:rsidR="00744618" w:rsidRPr="00A519E9">
              <w:rPr>
                <w:rFonts w:ascii="ITC New Baskerville Std" w:hAnsi="ITC New Baskerville Std"/>
                <w:sz w:val="20"/>
                <w:szCs w:val="20"/>
              </w:rPr>
              <w:t>Dorribo (Área de Apoi</w:t>
            </w:r>
            <w:r w:rsidRPr="00A519E9">
              <w:rPr>
                <w:rFonts w:ascii="ITC New Baskerville Std" w:hAnsi="ITC New Baskerville Std"/>
                <w:sz w:val="20"/>
                <w:szCs w:val="20"/>
              </w:rPr>
              <w:t xml:space="preserve">o </w:t>
            </w:r>
            <w:r w:rsidR="009616E6">
              <w:rPr>
                <w:rFonts w:ascii="ITC New Baskerville Std" w:hAnsi="ITC New Baskerville Std"/>
                <w:sz w:val="20"/>
                <w:szCs w:val="20"/>
              </w:rPr>
              <w:t>á</w:t>
            </w:r>
            <w:r w:rsidRPr="00A519E9">
              <w:rPr>
                <w:rFonts w:ascii="ITC New Baskerville Std" w:hAnsi="ITC New Baskerville Std"/>
                <w:sz w:val="20"/>
                <w:szCs w:val="20"/>
              </w:rPr>
              <w:t xml:space="preserve"> Docencia </w:t>
            </w:r>
            <w:r w:rsidR="00744618" w:rsidRPr="00A519E9">
              <w:rPr>
                <w:rFonts w:ascii="ITC New Baskerville Std" w:hAnsi="ITC New Baskerville Std"/>
                <w:sz w:val="20"/>
                <w:szCs w:val="20"/>
              </w:rPr>
              <w:t>e</w:t>
            </w:r>
            <w:r w:rsidRPr="00A519E9">
              <w:rPr>
                <w:rFonts w:ascii="ITC New Baskerville Std" w:hAnsi="ITC New Baskerville Std"/>
                <w:sz w:val="20"/>
                <w:szCs w:val="20"/>
              </w:rPr>
              <w:t xml:space="preserve"> Calidad</w:t>
            </w:r>
            <w:r w:rsidR="00744618" w:rsidRPr="00A519E9">
              <w:rPr>
                <w:rFonts w:ascii="ITC New Baskerville Std" w:hAnsi="ITC New Baskerville Std"/>
                <w:sz w:val="20"/>
                <w:szCs w:val="20"/>
              </w:rPr>
              <w:t>e</w:t>
            </w:r>
            <w:r w:rsidR="000D5995">
              <w:rPr>
                <w:rFonts w:ascii="ITC New Baskerville Std" w:hAnsi="ITC New Baskerville Std"/>
                <w:sz w:val="20"/>
                <w:szCs w:val="20"/>
              </w:rPr>
              <w:t>)</w:t>
            </w:r>
          </w:p>
        </w:tc>
        <w:tc>
          <w:tcPr>
            <w:tcW w:w="52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5DC0" w:rsidRPr="00A519E9" w:rsidRDefault="00EE5DC0" w:rsidP="00291D62">
            <w:pPr>
              <w:jc w:val="both"/>
              <w:rPr>
                <w:rFonts w:ascii="ITC New Baskerville Std" w:hAnsi="ITC New Baskerville Std"/>
                <w:sz w:val="20"/>
                <w:szCs w:val="20"/>
              </w:rPr>
            </w:pPr>
          </w:p>
          <w:p w:rsidR="00291D62" w:rsidRPr="00A519E9" w:rsidRDefault="00291D62" w:rsidP="00291D62">
            <w:pPr>
              <w:jc w:val="both"/>
              <w:rPr>
                <w:rFonts w:ascii="ITC New Baskerville Std" w:hAnsi="ITC New Baskerville Std"/>
                <w:sz w:val="20"/>
                <w:szCs w:val="20"/>
              </w:rPr>
            </w:pPr>
            <w:r w:rsidRPr="00A519E9">
              <w:rPr>
                <w:rFonts w:ascii="ITC New Baskerville Std" w:hAnsi="ITC New Baskerville Std"/>
                <w:sz w:val="20"/>
                <w:szCs w:val="20"/>
              </w:rPr>
              <w:t>Evolución completa do procedemento: nova codificación,</w:t>
            </w:r>
            <w:r w:rsidR="009F186E">
              <w:rPr>
                <w:rFonts w:ascii="ITC New Baskerville Std" w:hAnsi="ITC New Baskerville Std"/>
                <w:sz w:val="20"/>
                <w:szCs w:val="20"/>
              </w:rPr>
              <w:t xml:space="preserve"> trama de redacción e estrutura e</w:t>
            </w:r>
            <w:r w:rsidRPr="00A519E9">
              <w:rPr>
                <w:rFonts w:ascii="ITC New Baskerville Std" w:hAnsi="ITC New Baskerville Std"/>
                <w:sz w:val="20"/>
                <w:szCs w:val="20"/>
              </w:rPr>
              <w:t xml:space="preserve"> novos contidos.</w:t>
            </w:r>
          </w:p>
          <w:p w:rsidR="00291D62" w:rsidRPr="00A519E9" w:rsidRDefault="00291D62" w:rsidP="002A5F8D">
            <w:pPr>
              <w:jc w:val="both"/>
              <w:rPr>
                <w:rFonts w:ascii="ITC New Baskerville Std" w:hAnsi="ITC New Baskerville Std"/>
                <w:sz w:val="20"/>
                <w:szCs w:val="20"/>
              </w:rPr>
            </w:pPr>
            <w:r w:rsidRPr="00A519E9">
              <w:rPr>
                <w:rFonts w:ascii="ITC New Baskerville Std" w:hAnsi="ITC New Baskerville Std"/>
                <w:sz w:val="20"/>
                <w:szCs w:val="20"/>
              </w:rPr>
              <w:t xml:space="preserve">Modificación do título e código: pasa </w:t>
            </w:r>
            <w:r w:rsidR="00492191" w:rsidRPr="00A519E9">
              <w:rPr>
                <w:rFonts w:ascii="ITC New Baskerville Std" w:hAnsi="ITC New Baskerville Std"/>
                <w:sz w:val="20"/>
                <w:szCs w:val="20"/>
              </w:rPr>
              <w:t>de PC08 e PC09 a DO-0205 P1 «Xestión da mobilidade»</w:t>
            </w:r>
            <w:r w:rsidRPr="00A519E9">
              <w:rPr>
                <w:rFonts w:ascii="ITC New Baskerville Std" w:hAnsi="ITC New Baskerville Std"/>
                <w:sz w:val="20"/>
                <w:szCs w:val="20"/>
              </w:rPr>
              <w:t>.</w:t>
            </w:r>
          </w:p>
          <w:p w:rsidR="00744618" w:rsidRPr="00A519E9" w:rsidRDefault="00744618" w:rsidP="00291D62">
            <w:pPr>
              <w:rPr>
                <w:rFonts w:ascii="ITC New Baskerville Std" w:hAnsi="ITC New Baskerville Std"/>
                <w:sz w:val="20"/>
                <w:szCs w:val="20"/>
              </w:rPr>
            </w:pPr>
          </w:p>
        </w:tc>
      </w:tr>
      <w:tr w:rsidR="00442A24" w:rsidRPr="00A519E9" w:rsidTr="00DD2DFD">
        <w:trPr>
          <w:gridAfter w:val="2"/>
          <w:wAfter w:w="147" w:type="dxa"/>
        </w:trPr>
        <w:tc>
          <w:tcPr>
            <w:tcW w:w="1008" w:type="dxa"/>
            <w:shd w:val="clear" w:color="auto" w:fill="FFFFFF" w:themeFill="background1"/>
            <w:vAlign w:val="center"/>
          </w:tcPr>
          <w:p w:rsidR="00442A24" w:rsidRPr="00A519E9" w:rsidRDefault="00442A24" w:rsidP="00DD2DFD">
            <w:pPr>
              <w:rPr>
                <w:rFonts w:ascii="ITC New Baskerville Std" w:hAnsi="ITC New Baskerville Std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shd w:val="clear" w:color="auto" w:fill="FFFFFF" w:themeFill="background1"/>
            <w:vAlign w:val="center"/>
          </w:tcPr>
          <w:p w:rsidR="00442A24" w:rsidRPr="00A519E9" w:rsidRDefault="00442A24" w:rsidP="00DD2DFD">
            <w:pPr>
              <w:rPr>
                <w:rFonts w:ascii="ITC New Baskerville Std" w:hAnsi="ITC New Baskerville Std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shd w:val="clear" w:color="auto" w:fill="FFFFFF" w:themeFill="background1"/>
            <w:vAlign w:val="center"/>
          </w:tcPr>
          <w:p w:rsidR="00442A24" w:rsidRPr="00A519E9" w:rsidRDefault="00442A24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</w:tc>
        <w:tc>
          <w:tcPr>
            <w:tcW w:w="5250" w:type="dxa"/>
            <w:gridSpan w:val="2"/>
            <w:shd w:val="clear" w:color="auto" w:fill="FFFFFF" w:themeFill="background1"/>
            <w:vAlign w:val="center"/>
          </w:tcPr>
          <w:p w:rsidR="00442A24" w:rsidRPr="00A519E9" w:rsidRDefault="00442A24" w:rsidP="00DD2DFD">
            <w:pPr>
              <w:rPr>
                <w:rFonts w:ascii="ITC New Baskerville Std" w:hAnsi="ITC New Baskerville Std"/>
                <w:sz w:val="20"/>
                <w:szCs w:val="20"/>
              </w:rPr>
            </w:pPr>
          </w:p>
        </w:tc>
      </w:tr>
    </w:tbl>
    <w:p w:rsidR="00442A24" w:rsidRPr="00A519E9" w:rsidRDefault="00442A24" w:rsidP="00442A24">
      <w:pPr>
        <w:rPr>
          <w:rFonts w:ascii="ITC New Baskerville Std" w:hAnsi="ITC New Baskerville Std"/>
        </w:rPr>
      </w:pPr>
    </w:p>
    <w:p w:rsidR="00442A24" w:rsidRPr="00A519E9" w:rsidRDefault="00442A24" w:rsidP="00442A24">
      <w:pPr>
        <w:rPr>
          <w:rFonts w:ascii="ITC New Baskerville Std" w:hAnsi="ITC New Baskerville Std"/>
        </w:rPr>
      </w:pPr>
    </w:p>
    <w:p w:rsidR="002A5F8D" w:rsidRDefault="002A5F8D" w:rsidP="00442A24">
      <w:pPr>
        <w:rPr>
          <w:rFonts w:ascii="ITC New Baskerville Std" w:hAnsi="ITC New Baskerville Std"/>
        </w:rPr>
      </w:pPr>
    </w:p>
    <w:p w:rsidR="009F186E" w:rsidRDefault="009F186E" w:rsidP="00442A24">
      <w:pPr>
        <w:rPr>
          <w:rFonts w:ascii="ITC New Baskerville Std" w:hAnsi="ITC New Baskerville Std"/>
        </w:rPr>
      </w:pPr>
    </w:p>
    <w:p w:rsidR="009F186E" w:rsidRPr="00A519E9" w:rsidRDefault="009F186E" w:rsidP="00442A24">
      <w:pPr>
        <w:rPr>
          <w:rFonts w:ascii="ITC New Baskerville Std" w:hAnsi="ITC New Baskerville Std"/>
        </w:rPr>
      </w:pPr>
    </w:p>
    <w:p w:rsidR="00DD2DFD" w:rsidRPr="00A519E9" w:rsidRDefault="00DD2DFD" w:rsidP="00442A24">
      <w:pPr>
        <w:rPr>
          <w:rFonts w:ascii="ITC New Baskerville Std" w:hAnsi="ITC New Baskerville Std"/>
        </w:rPr>
      </w:pPr>
    </w:p>
    <w:p w:rsidR="00442A24" w:rsidRPr="00A519E9" w:rsidRDefault="00442A24" w:rsidP="00442A24">
      <w:pPr>
        <w:pBdr>
          <w:top w:val="single" w:sz="18" w:space="1" w:color="auto"/>
        </w:pBdr>
        <w:rPr>
          <w:rFonts w:ascii="ITC New Baskerville Std" w:hAnsi="ITC New Baskerville Std"/>
          <w:sz w:val="32"/>
        </w:rPr>
      </w:pPr>
      <w:r w:rsidRPr="00A519E9">
        <w:rPr>
          <w:rFonts w:ascii="ITC New Baskerville Std" w:hAnsi="ITC New Baskerville Std"/>
          <w:sz w:val="32"/>
          <w:szCs w:val="36"/>
        </w:rPr>
        <w:t>Í</w:t>
      </w:r>
      <w:r w:rsidRPr="00A519E9">
        <w:rPr>
          <w:rFonts w:ascii="ITC New Baskerville Std" w:hAnsi="ITC New Baskerville Std"/>
          <w:sz w:val="32"/>
        </w:rPr>
        <w:t>ndice</w:t>
      </w:r>
    </w:p>
    <w:sdt>
      <w:sdtPr>
        <w:rPr>
          <w:rFonts w:ascii="ITC New Baskerville Std" w:eastAsiaTheme="minorHAnsi" w:hAnsi="ITC New Baskerville Std" w:cstheme="minorBidi"/>
          <w:b w:val="0"/>
          <w:bCs w:val="0"/>
          <w:color w:val="auto"/>
          <w:sz w:val="22"/>
          <w:szCs w:val="22"/>
          <w:lang w:eastAsia="en-US"/>
        </w:rPr>
        <w:id w:val="17018942"/>
        <w:docPartObj>
          <w:docPartGallery w:val="Table of Contents"/>
          <w:docPartUnique/>
        </w:docPartObj>
      </w:sdtPr>
      <w:sdtEndPr/>
      <w:sdtContent>
        <w:p w:rsidR="00442A24" w:rsidRPr="00A519E9" w:rsidRDefault="00442A24" w:rsidP="00442A24">
          <w:pPr>
            <w:pStyle w:val="TtulodeTDC"/>
            <w:ind w:left="-284"/>
            <w:rPr>
              <w:rFonts w:ascii="ITC New Baskerville Std" w:hAnsi="ITC New Baskerville Std"/>
            </w:rPr>
          </w:pPr>
        </w:p>
        <w:p w:rsidR="00DE5285" w:rsidRPr="00A519E9" w:rsidRDefault="00442A24">
          <w:pPr>
            <w:pStyle w:val="TDC1"/>
            <w:tabs>
              <w:tab w:val="right" w:leader="dot" w:pos="9486"/>
            </w:tabs>
            <w:rPr>
              <w:rFonts w:eastAsiaTheme="minorEastAsia"/>
              <w:noProof/>
              <w:lang w:eastAsia="gl-ES"/>
            </w:rPr>
          </w:pPr>
          <w:r w:rsidRPr="00A519E9">
            <w:rPr>
              <w:rFonts w:ascii="ITC New Baskerville Std" w:hAnsi="ITC New Baskerville Std"/>
            </w:rPr>
            <w:fldChar w:fldCharType="begin"/>
          </w:r>
          <w:r w:rsidRPr="00A519E9">
            <w:rPr>
              <w:rFonts w:ascii="ITC New Baskerville Std" w:hAnsi="ITC New Baskerville Std"/>
            </w:rPr>
            <w:instrText xml:space="preserve"> TOC \o "1-1" \h \z \t "Estilo_Documento SC;1" </w:instrText>
          </w:r>
          <w:r w:rsidRPr="00A519E9">
            <w:rPr>
              <w:rFonts w:ascii="ITC New Baskerville Std" w:hAnsi="ITC New Baskerville Std"/>
            </w:rPr>
            <w:fldChar w:fldCharType="separate"/>
          </w:r>
          <w:hyperlink w:anchor="_Toc348607829" w:history="1">
            <w:r w:rsidR="00DE5285" w:rsidRPr="00A519E9">
              <w:rPr>
                <w:rStyle w:val="Hipervnculo"/>
                <w:rFonts w:ascii="ITC New Baskerville Std" w:hAnsi="ITC New Baskerville Std"/>
                <w:noProof/>
              </w:rPr>
              <w:t>I OBXECTO</w:t>
            </w:r>
            <w:r w:rsidR="00DE5285" w:rsidRPr="00A519E9">
              <w:rPr>
                <w:noProof/>
                <w:webHidden/>
              </w:rPr>
              <w:tab/>
            </w:r>
            <w:r w:rsidR="00DE5285" w:rsidRPr="00A519E9">
              <w:rPr>
                <w:noProof/>
                <w:webHidden/>
              </w:rPr>
              <w:fldChar w:fldCharType="begin"/>
            </w:r>
            <w:r w:rsidR="00DE5285" w:rsidRPr="00A519E9">
              <w:rPr>
                <w:noProof/>
                <w:webHidden/>
              </w:rPr>
              <w:instrText xml:space="preserve"> PAGEREF _Toc348607829 \h </w:instrText>
            </w:r>
            <w:r w:rsidR="00DE5285" w:rsidRPr="00A519E9">
              <w:rPr>
                <w:noProof/>
                <w:webHidden/>
              </w:rPr>
            </w:r>
            <w:r w:rsidR="00DE5285" w:rsidRPr="00A519E9">
              <w:rPr>
                <w:noProof/>
                <w:webHidden/>
              </w:rPr>
              <w:fldChar w:fldCharType="separate"/>
            </w:r>
            <w:r w:rsidR="00C95562" w:rsidRPr="00A519E9">
              <w:rPr>
                <w:noProof/>
                <w:webHidden/>
              </w:rPr>
              <w:t>3</w:t>
            </w:r>
            <w:r w:rsidR="00DE5285" w:rsidRPr="00A519E9">
              <w:rPr>
                <w:noProof/>
                <w:webHidden/>
              </w:rPr>
              <w:fldChar w:fldCharType="end"/>
            </w:r>
          </w:hyperlink>
        </w:p>
        <w:p w:rsidR="00DE5285" w:rsidRPr="00A519E9" w:rsidRDefault="00F9579B">
          <w:pPr>
            <w:pStyle w:val="TDC1"/>
            <w:tabs>
              <w:tab w:val="right" w:leader="dot" w:pos="9486"/>
            </w:tabs>
            <w:rPr>
              <w:rFonts w:eastAsiaTheme="minorEastAsia"/>
              <w:noProof/>
              <w:lang w:eastAsia="gl-ES"/>
            </w:rPr>
          </w:pPr>
          <w:hyperlink w:anchor="_Toc348607830" w:history="1">
            <w:r w:rsidR="00DE5285" w:rsidRPr="00A519E9">
              <w:rPr>
                <w:rStyle w:val="Hipervnculo"/>
                <w:rFonts w:ascii="ITC New Baskerville Std" w:hAnsi="ITC New Baskerville Std"/>
                <w:noProof/>
              </w:rPr>
              <w:t>II ALCANCE</w:t>
            </w:r>
            <w:r w:rsidR="00DE5285" w:rsidRPr="00A519E9">
              <w:rPr>
                <w:noProof/>
                <w:webHidden/>
              </w:rPr>
              <w:tab/>
            </w:r>
            <w:r w:rsidR="00DE5285" w:rsidRPr="00A519E9">
              <w:rPr>
                <w:noProof/>
                <w:webHidden/>
              </w:rPr>
              <w:fldChar w:fldCharType="begin"/>
            </w:r>
            <w:r w:rsidR="00DE5285" w:rsidRPr="00A519E9">
              <w:rPr>
                <w:noProof/>
                <w:webHidden/>
              </w:rPr>
              <w:instrText xml:space="preserve"> PAGEREF _Toc348607830 \h </w:instrText>
            </w:r>
            <w:r w:rsidR="00DE5285" w:rsidRPr="00A519E9">
              <w:rPr>
                <w:noProof/>
                <w:webHidden/>
              </w:rPr>
            </w:r>
            <w:r w:rsidR="00DE5285" w:rsidRPr="00A519E9">
              <w:rPr>
                <w:noProof/>
                <w:webHidden/>
              </w:rPr>
              <w:fldChar w:fldCharType="separate"/>
            </w:r>
            <w:r w:rsidR="00C95562" w:rsidRPr="00A519E9">
              <w:rPr>
                <w:noProof/>
                <w:webHidden/>
              </w:rPr>
              <w:t>3</w:t>
            </w:r>
            <w:r w:rsidR="00DE5285" w:rsidRPr="00A519E9">
              <w:rPr>
                <w:noProof/>
                <w:webHidden/>
              </w:rPr>
              <w:fldChar w:fldCharType="end"/>
            </w:r>
          </w:hyperlink>
        </w:p>
        <w:p w:rsidR="00DE5285" w:rsidRPr="00A519E9" w:rsidRDefault="00F9579B">
          <w:pPr>
            <w:pStyle w:val="TDC1"/>
            <w:tabs>
              <w:tab w:val="right" w:leader="dot" w:pos="9486"/>
            </w:tabs>
            <w:rPr>
              <w:rFonts w:eastAsiaTheme="minorEastAsia"/>
              <w:noProof/>
              <w:lang w:eastAsia="gl-ES"/>
            </w:rPr>
          </w:pPr>
          <w:hyperlink w:anchor="_Toc348607831" w:history="1">
            <w:r w:rsidR="00DE5285" w:rsidRPr="00A519E9">
              <w:rPr>
                <w:rStyle w:val="Hipervnculo"/>
                <w:rFonts w:ascii="ITC New Baskerville Std" w:hAnsi="ITC New Baskerville Std"/>
                <w:noProof/>
              </w:rPr>
              <w:t>III REFERENCIAS</w:t>
            </w:r>
            <w:r w:rsidR="00DE5285" w:rsidRPr="00A519E9">
              <w:rPr>
                <w:noProof/>
                <w:webHidden/>
              </w:rPr>
              <w:tab/>
            </w:r>
            <w:r w:rsidR="00DE5285" w:rsidRPr="00A519E9">
              <w:rPr>
                <w:noProof/>
                <w:webHidden/>
              </w:rPr>
              <w:fldChar w:fldCharType="begin"/>
            </w:r>
            <w:r w:rsidR="00DE5285" w:rsidRPr="00A519E9">
              <w:rPr>
                <w:noProof/>
                <w:webHidden/>
              </w:rPr>
              <w:instrText xml:space="preserve"> PAGEREF _Toc348607831 \h </w:instrText>
            </w:r>
            <w:r w:rsidR="00DE5285" w:rsidRPr="00A519E9">
              <w:rPr>
                <w:noProof/>
                <w:webHidden/>
              </w:rPr>
            </w:r>
            <w:r w:rsidR="00DE5285" w:rsidRPr="00A519E9">
              <w:rPr>
                <w:noProof/>
                <w:webHidden/>
              </w:rPr>
              <w:fldChar w:fldCharType="separate"/>
            </w:r>
            <w:r w:rsidR="00C95562" w:rsidRPr="00A519E9">
              <w:rPr>
                <w:noProof/>
                <w:webHidden/>
              </w:rPr>
              <w:t>3</w:t>
            </w:r>
            <w:r w:rsidR="00DE5285" w:rsidRPr="00A519E9">
              <w:rPr>
                <w:noProof/>
                <w:webHidden/>
              </w:rPr>
              <w:fldChar w:fldCharType="end"/>
            </w:r>
          </w:hyperlink>
        </w:p>
        <w:p w:rsidR="00DE5285" w:rsidRPr="00A519E9" w:rsidRDefault="00F9579B">
          <w:pPr>
            <w:pStyle w:val="TDC1"/>
            <w:tabs>
              <w:tab w:val="right" w:leader="dot" w:pos="9486"/>
            </w:tabs>
            <w:rPr>
              <w:rFonts w:eastAsiaTheme="minorEastAsia"/>
              <w:noProof/>
              <w:lang w:eastAsia="gl-ES"/>
            </w:rPr>
          </w:pPr>
          <w:hyperlink w:anchor="_Toc348607832" w:history="1">
            <w:r w:rsidR="00DE5285" w:rsidRPr="00A519E9">
              <w:rPr>
                <w:rStyle w:val="Hipervnculo"/>
                <w:rFonts w:ascii="ITC New Baskerville Std" w:hAnsi="ITC New Baskerville Std"/>
                <w:noProof/>
              </w:rPr>
              <w:t>IV DESENVOLVEMENTO</w:t>
            </w:r>
            <w:r w:rsidR="00DE5285" w:rsidRPr="00A519E9">
              <w:rPr>
                <w:noProof/>
                <w:webHidden/>
              </w:rPr>
              <w:tab/>
            </w:r>
            <w:r w:rsidR="00DE5285" w:rsidRPr="00A519E9">
              <w:rPr>
                <w:noProof/>
                <w:webHidden/>
              </w:rPr>
              <w:fldChar w:fldCharType="begin"/>
            </w:r>
            <w:r w:rsidR="00DE5285" w:rsidRPr="00A519E9">
              <w:rPr>
                <w:noProof/>
                <w:webHidden/>
              </w:rPr>
              <w:instrText xml:space="preserve"> PAGEREF _Toc348607832 \h </w:instrText>
            </w:r>
            <w:r w:rsidR="00DE5285" w:rsidRPr="00A519E9">
              <w:rPr>
                <w:noProof/>
                <w:webHidden/>
              </w:rPr>
            </w:r>
            <w:r w:rsidR="00DE5285" w:rsidRPr="00A519E9">
              <w:rPr>
                <w:noProof/>
                <w:webHidden/>
              </w:rPr>
              <w:fldChar w:fldCharType="separate"/>
            </w:r>
            <w:r w:rsidR="00C95562" w:rsidRPr="00A519E9">
              <w:rPr>
                <w:noProof/>
                <w:webHidden/>
              </w:rPr>
              <w:t>5</w:t>
            </w:r>
            <w:r w:rsidR="00DE5285" w:rsidRPr="00A519E9">
              <w:rPr>
                <w:noProof/>
                <w:webHidden/>
              </w:rPr>
              <w:fldChar w:fldCharType="end"/>
            </w:r>
          </w:hyperlink>
        </w:p>
        <w:p w:rsidR="00DE5285" w:rsidRPr="00A519E9" w:rsidRDefault="00F9579B">
          <w:pPr>
            <w:pStyle w:val="TDC1"/>
            <w:tabs>
              <w:tab w:val="right" w:leader="dot" w:pos="9486"/>
            </w:tabs>
            <w:rPr>
              <w:rFonts w:eastAsiaTheme="minorEastAsia"/>
              <w:noProof/>
              <w:lang w:eastAsia="gl-ES"/>
            </w:rPr>
          </w:pPr>
          <w:hyperlink w:anchor="_Toc348607833" w:history="1">
            <w:r w:rsidR="00DE5285" w:rsidRPr="00A519E9">
              <w:rPr>
                <w:rStyle w:val="Hipervnculo"/>
                <w:rFonts w:ascii="ITC New Baskerville Std" w:hAnsi="ITC New Baskerville Std"/>
                <w:noProof/>
              </w:rPr>
              <w:t>V ANEXOS</w:t>
            </w:r>
            <w:r w:rsidR="00DE5285" w:rsidRPr="00A519E9">
              <w:rPr>
                <w:noProof/>
                <w:webHidden/>
              </w:rPr>
              <w:tab/>
            </w:r>
            <w:r w:rsidR="00DE5285" w:rsidRPr="00A519E9">
              <w:rPr>
                <w:noProof/>
                <w:webHidden/>
              </w:rPr>
              <w:fldChar w:fldCharType="begin"/>
            </w:r>
            <w:r w:rsidR="00DE5285" w:rsidRPr="00A519E9">
              <w:rPr>
                <w:noProof/>
                <w:webHidden/>
              </w:rPr>
              <w:instrText xml:space="preserve"> PAGEREF _Toc348607833 \h </w:instrText>
            </w:r>
            <w:r w:rsidR="00DE5285" w:rsidRPr="00A519E9">
              <w:rPr>
                <w:noProof/>
                <w:webHidden/>
              </w:rPr>
            </w:r>
            <w:r w:rsidR="00DE5285" w:rsidRPr="00A519E9">
              <w:rPr>
                <w:noProof/>
                <w:webHidden/>
              </w:rPr>
              <w:fldChar w:fldCharType="separate"/>
            </w:r>
            <w:r w:rsidR="00C95562" w:rsidRPr="00A519E9">
              <w:rPr>
                <w:noProof/>
                <w:webHidden/>
              </w:rPr>
              <w:t>13</w:t>
            </w:r>
            <w:r w:rsidR="00DE5285" w:rsidRPr="00A519E9">
              <w:rPr>
                <w:noProof/>
                <w:webHidden/>
              </w:rPr>
              <w:fldChar w:fldCharType="end"/>
            </w:r>
          </w:hyperlink>
        </w:p>
        <w:p w:rsidR="00FB06A4" w:rsidRPr="00A519E9" w:rsidRDefault="00442A24" w:rsidP="00DD2DFD">
          <w:pPr>
            <w:ind w:left="-284"/>
            <w:rPr>
              <w:rFonts w:ascii="ITC New Baskerville Std" w:hAnsi="ITC New Baskerville Std"/>
            </w:rPr>
          </w:pPr>
          <w:r w:rsidRPr="00A519E9">
            <w:rPr>
              <w:rFonts w:ascii="ITC New Baskerville Std" w:hAnsi="ITC New Baskerville Std"/>
            </w:rPr>
            <w:fldChar w:fldCharType="end"/>
          </w:r>
        </w:p>
      </w:sdtContent>
    </w:sdt>
    <w:p w:rsidR="00442A24" w:rsidRPr="00A519E9" w:rsidRDefault="00442A24" w:rsidP="00442A24">
      <w:pPr>
        <w:pStyle w:val="EstiloDocumentoSC"/>
        <w:pBdr>
          <w:top w:val="single" w:sz="18" w:space="1" w:color="auto"/>
        </w:pBdr>
        <w:tabs>
          <w:tab w:val="left" w:pos="-1951"/>
        </w:tabs>
        <w:spacing w:line="200" w:lineRule="atLeast"/>
        <w:rPr>
          <w:rFonts w:ascii="ITC New Baskerville Std" w:hAnsi="ITC New Baskerville Std"/>
          <w:b w:val="0"/>
          <w:lang w:val="gl-ES"/>
        </w:rPr>
      </w:pPr>
      <w:bookmarkStart w:id="0" w:name="_Toc348607829"/>
      <w:r w:rsidRPr="00A519E9">
        <w:rPr>
          <w:rFonts w:ascii="ITC New Baskerville Std" w:hAnsi="ITC New Baskerville Std"/>
          <w:b w:val="0"/>
          <w:lang w:val="gl-ES"/>
        </w:rPr>
        <w:lastRenderedPageBreak/>
        <w:t>I OBXECTO</w:t>
      </w:r>
      <w:bookmarkEnd w:id="0"/>
    </w:p>
    <w:p w:rsidR="00442A24" w:rsidRPr="00A519E9" w:rsidRDefault="00442A24" w:rsidP="00442A24">
      <w:pPr>
        <w:tabs>
          <w:tab w:val="left" w:pos="1276"/>
        </w:tabs>
        <w:ind w:right="-142"/>
        <w:rPr>
          <w:rFonts w:ascii="ITC New Baskerville Std" w:hAnsi="ITC New Baskerville Std"/>
          <w:sz w:val="10"/>
          <w:szCs w:val="10"/>
        </w:rPr>
      </w:pPr>
    </w:p>
    <w:p w:rsidR="00DF750E" w:rsidRPr="00A519E9" w:rsidRDefault="002E26AD" w:rsidP="00442A24">
      <w:pPr>
        <w:tabs>
          <w:tab w:val="left" w:pos="1276"/>
        </w:tabs>
        <w:ind w:right="-142"/>
        <w:rPr>
          <w:rFonts w:ascii="ITC New Baskerville Std" w:hAnsi="ITC New Baskerville Std"/>
          <w:sz w:val="20"/>
          <w:szCs w:val="20"/>
        </w:rPr>
      </w:pPr>
      <w:r w:rsidRPr="00A519E9">
        <w:rPr>
          <w:rFonts w:ascii="ITC New Baskerville Std" w:hAnsi="ITC New Baskerville Std"/>
          <w:sz w:val="20"/>
          <w:szCs w:val="20"/>
        </w:rPr>
        <w:t>Definir a metodoloxía que permite xestionar os programas nacionais e/ou internacionais de intercambio (mobilidade) dos</w:t>
      </w:r>
      <w:r w:rsidR="003424DC">
        <w:rPr>
          <w:rFonts w:ascii="ITC New Baskerville Std" w:hAnsi="ITC New Baskerville Std"/>
          <w:sz w:val="20"/>
          <w:szCs w:val="20"/>
        </w:rPr>
        <w:t xml:space="preserve"> e das</w:t>
      </w:r>
      <w:r w:rsidRPr="00A519E9">
        <w:rPr>
          <w:rFonts w:ascii="ITC New Baskerville Std" w:hAnsi="ITC New Baskerville Std"/>
          <w:sz w:val="20"/>
          <w:szCs w:val="20"/>
        </w:rPr>
        <w:t xml:space="preserve"> estudantes nos centros e </w:t>
      </w:r>
      <w:r w:rsidR="009F186E">
        <w:rPr>
          <w:rFonts w:ascii="ITC New Baskerville Std" w:hAnsi="ITC New Baskerville Std"/>
          <w:sz w:val="20"/>
          <w:szCs w:val="20"/>
        </w:rPr>
        <w:t xml:space="preserve">nas </w:t>
      </w:r>
      <w:r w:rsidRPr="00A519E9">
        <w:rPr>
          <w:rFonts w:ascii="ITC New Baskerville Std" w:hAnsi="ITC New Baskerville Std"/>
          <w:sz w:val="20"/>
          <w:szCs w:val="20"/>
        </w:rPr>
        <w:t>titulacións da Universidade de Vigo.</w:t>
      </w:r>
    </w:p>
    <w:p w:rsidR="002E26AD" w:rsidRPr="00A519E9" w:rsidRDefault="002E26AD" w:rsidP="00442A24">
      <w:pPr>
        <w:tabs>
          <w:tab w:val="left" w:pos="1276"/>
        </w:tabs>
        <w:ind w:right="-142"/>
        <w:rPr>
          <w:rFonts w:ascii="ITC New Baskerville Std" w:hAnsi="ITC New Baskerville Std"/>
          <w:sz w:val="20"/>
          <w:szCs w:val="20"/>
        </w:rPr>
      </w:pPr>
    </w:p>
    <w:p w:rsidR="00442A24" w:rsidRPr="00A519E9" w:rsidRDefault="00442A24" w:rsidP="00442A24">
      <w:pPr>
        <w:pStyle w:val="EstiloDocumentoSC"/>
        <w:pBdr>
          <w:top w:val="single" w:sz="18" w:space="1" w:color="auto"/>
        </w:pBdr>
        <w:rPr>
          <w:rFonts w:ascii="ITC New Baskerville Std" w:hAnsi="ITC New Baskerville Std"/>
          <w:b w:val="0"/>
          <w:lang w:val="gl-ES"/>
        </w:rPr>
      </w:pPr>
      <w:bookmarkStart w:id="1" w:name="_Toc348607830"/>
      <w:r w:rsidRPr="00A519E9">
        <w:rPr>
          <w:rFonts w:ascii="ITC New Baskerville Std" w:hAnsi="ITC New Baskerville Std"/>
          <w:b w:val="0"/>
          <w:lang w:val="gl-ES"/>
        </w:rPr>
        <w:t>II ALCANCE</w:t>
      </w:r>
      <w:bookmarkEnd w:id="1"/>
    </w:p>
    <w:p w:rsidR="00442A24" w:rsidRPr="00A519E9" w:rsidRDefault="00442A24" w:rsidP="00442A24">
      <w:pPr>
        <w:ind w:left="-284"/>
        <w:rPr>
          <w:rFonts w:ascii="ITC New Baskerville Std" w:hAnsi="ITC New Baskerville Std"/>
          <w:sz w:val="10"/>
          <w:szCs w:val="10"/>
        </w:rPr>
      </w:pPr>
    </w:p>
    <w:p w:rsidR="002E26AD" w:rsidRPr="00A519E9" w:rsidRDefault="00DF750E" w:rsidP="002D3C67">
      <w:pPr>
        <w:jc w:val="both"/>
        <w:rPr>
          <w:rFonts w:ascii="ITC New Baskerville Std" w:hAnsi="ITC New Baskerville Std"/>
          <w:sz w:val="20"/>
          <w:szCs w:val="20"/>
        </w:rPr>
      </w:pPr>
      <w:r w:rsidRPr="00A519E9">
        <w:rPr>
          <w:rFonts w:ascii="ITC New Baskerville Std" w:hAnsi="ITC New Baskerville Std"/>
          <w:sz w:val="20"/>
          <w:szCs w:val="20"/>
        </w:rPr>
        <w:t>O alcance do presente procedemento esténdese</w:t>
      </w:r>
      <w:r w:rsidR="002E26AD" w:rsidRPr="00A519E9">
        <w:rPr>
          <w:rFonts w:ascii="ITC New Baskerville Std" w:hAnsi="ITC New Baskerville Std"/>
          <w:sz w:val="20"/>
          <w:szCs w:val="20"/>
        </w:rPr>
        <w:t xml:space="preserve"> ao estudantado das titulacións oficiais de grado e mestrado universitario, sexa</w:t>
      </w:r>
    </w:p>
    <w:p w:rsidR="002E26AD" w:rsidRPr="00A519E9" w:rsidRDefault="002E26AD" w:rsidP="002D3C67">
      <w:pPr>
        <w:pStyle w:val="Prrafodelista"/>
        <w:numPr>
          <w:ilvl w:val="0"/>
          <w:numId w:val="12"/>
        </w:numPr>
        <w:ind w:left="567" w:hanging="425"/>
        <w:jc w:val="both"/>
        <w:rPr>
          <w:rFonts w:ascii="ITC New Baskerville Std" w:hAnsi="ITC New Baskerville Std"/>
          <w:sz w:val="20"/>
          <w:szCs w:val="20"/>
        </w:rPr>
      </w:pPr>
      <w:r w:rsidRPr="00A519E9">
        <w:rPr>
          <w:rFonts w:ascii="ITC New Baskerville Std" w:hAnsi="ITC New Baskerville Std"/>
          <w:sz w:val="20"/>
          <w:szCs w:val="20"/>
        </w:rPr>
        <w:t>estudant</w:t>
      </w:r>
      <w:r w:rsidR="003424DC">
        <w:rPr>
          <w:rFonts w:ascii="ITC New Baskerville Std" w:hAnsi="ITC New Baskerville Std"/>
          <w:sz w:val="20"/>
          <w:szCs w:val="20"/>
        </w:rPr>
        <w:t>ado propio</w:t>
      </w:r>
      <w:r w:rsidRPr="00A519E9">
        <w:rPr>
          <w:rFonts w:ascii="ITC New Baskerville Std" w:hAnsi="ITC New Baskerville Std"/>
          <w:sz w:val="20"/>
          <w:szCs w:val="20"/>
        </w:rPr>
        <w:t xml:space="preserve"> ou</w:t>
      </w:r>
    </w:p>
    <w:p w:rsidR="002E26AD" w:rsidRPr="00A519E9" w:rsidRDefault="002E26AD" w:rsidP="002D3C67">
      <w:pPr>
        <w:pStyle w:val="Prrafodelista"/>
        <w:numPr>
          <w:ilvl w:val="0"/>
          <w:numId w:val="12"/>
        </w:numPr>
        <w:ind w:left="567" w:hanging="425"/>
        <w:jc w:val="both"/>
        <w:rPr>
          <w:rFonts w:ascii="ITC New Baskerville Std" w:hAnsi="ITC New Baskerville Std"/>
          <w:sz w:val="20"/>
          <w:szCs w:val="20"/>
        </w:rPr>
      </w:pPr>
      <w:r w:rsidRPr="00A519E9">
        <w:rPr>
          <w:rFonts w:ascii="ITC New Baskerville Std" w:hAnsi="ITC New Baskerville Std"/>
          <w:sz w:val="20"/>
          <w:szCs w:val="20"/>
        </w:rPr>
        <w:t>estudant</w:t>
      </w:r>
      <w:r w:rsidR="003424DC">
        <w:rPr>
          <w:rFonts w:ascii="ITC New Baskerville Std" w:hAnsi="ITC New Baskerville Std"/>
          <w:sz w:val="20"/>
          <w:szCs w:val="20"/>
        </w:rPr>
        <w:t>ado</w:t>
      </w:r>
      <w:r w:rsidRPr="00A519E9">
        <w:rPr>
          <w:rFonts w:ascii="ITC New Baskerville Std" w:hAnsi="ITC New Baskerville Std"/>
          <w:sz w:val="20"/>
          <w:szCs w:val="20"/>
        </w:rPr>
        <w:t xml:space="preserve"> alleo</w:t>
      </w:r>
    </w:p>
    <w:p w:rsidR="00621C4F" w:rsidRPr="00A519E9" w:rsidRDefault="002E26AD" w:rsidP="002D3C67">
      <w:pPr>
        <w:jc w:val="both"/>
        <w:rPr>
          <w:rFonts w:ascii="ITC New Baskerville Std" w:hAnsi="ITC New Baskerville Std"/>
          <w:sz w:val="20"/>
          <w:szCs w:val="20"/>
        </w:rPr>
      </w:pPr>
      <w:r w:rsidRPr="00A519E9">
        <w:rPr>
          <w:rFonts w:ascii="ITC New Baskerville Std" w:hAnsi="ITC New Baskerville Std"/>
          <w:sz w:val="20"/>
          <w:szCs w:val="20"/>
        </w:rPr>
        <w:t>participante nos programas de mobilidade no ámbito nacional e internacional aos que se adhire a Universidade de Vigo.</w:t>
      </w:r>
    </w:p>
    <w:p w:rsidR="002E26AD" w:rsidRPr="00A519E9" w:rsidRDefault="002E26AD" w:rsidP="002D3C67">
      <w:pPr>
        <w:jc w:val="both"/>
        <w:rPr>
          <w:rFonts w:ascii="ITC New Baskerville Std" w:hAnsi="ITC New Baskerville Std"/>
          <w:sz w:val="20"/>
          <w:szCs w:val="20"/>
        </w:rPr>
      </w:pPr>
    </w:p>
    <w:p w:rsidR="00442A24" w:rsidRPr="00A519E9" w:rsidRDefault="00442A24" w:rsidP="00442A24">
      <w:pPr>
        <w:pStyle w:val="EstiloDocumentoSC"/>
        <w:pBdr>
          <w:top w:val="single" w:sz="18" w:space="1" w:color="auto"/>
        </w:pBdr>
        <w:spacing w:before="100" w:beforeAutospacing="1"/>
        <w:rPr>
          <w:rFonts w:ascii="ITC New Baskerville Std" w:hAnsi="ITC New Baskerville Std"/>
          <w:b w:val="0"/>
          <w:lang w:val="gl-ES"/>
        </w:rPr>
      </w:pPr>
      <w:bookmarkStart w:id="2" w:name="_Toc348607831"/>
      <w:r w:rsidRPr="00A519E9">
        <w:rPr>
          <w:rFonts w:ascii="ITC New Baskerville Std" w:hAnsi="ITC New Baskerville Std"/>
          <w:b w:val="0"/>
          <w:lang w:val="gl-ES"/>
        </w:rPr>
        <w:t>III REFERENCIAS</w:t>
      </w:r>
      <w:bookmarkEnd w:id="2"/>
    </w:p>
    <w:p w:rsidR="00442A24" w:rsidRPr="00A519E9" w:rsidRDefault="00442A24" w:rsidP="00442A24">
      <w:pPr>
        <w:tabs>
          <w:tab w:val="left" w:pos="2694"/>
        </w:tabs>
        <w:spacing w:after="0" w:line="240" w:lineRule="auto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442A24" w:rsidRPr="00A519E9" w:rsidRDefault="00442A24" w:rsidP="00442A24">
      <w:pPr>
        <w:pStyle w:val="Estilo5"/>
        <w:ind w:left="567" w:hanging="567"/>
        <w:rPr>
          <w:rFonts w:eastAsia="Times New Roman" w:cstheme="minorHAnsi"/>
          <w:b/>
          <w:i w:val="0"/>
          <w:sz w:val="20"/>
          <w:szCs w:val="24"/>
          <w:lang w:val="gl-ES" w:eastAsia="fr-FR"/>
        </w:rPr>
      </w:pPr>
      <w:r w:rsidRPr="00A519E9">
        <w:rPr>
          <w:b/>
          <w:i w:val="0"/>
          <w:lang w:val="gl-ES"/>
        </w:rPr>
        <w:t xml:space="preserve">Normas </w:t>
      </w:r>
    </w:p>
    <w:p w:rsidR="00442A24" w:rsidRPr="00A519E9" w:rsidRDefault="00442A24" w:rsidP="00442A24">
      <w:pPr>
        <w:tabs>
          <w:tab w:val="left" w:pos="2694"/>
        </w:tabs>
        <w:spacing w:after="0" w:line="240" w:lineRule="auto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442A24" w:rsidRPr="00A519E9" w:rsidRDefault="00442A24" w:rsidP="00A3517A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A519E9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Lexislación</w:t>
      </w:r>
    </w:p>
    <w:p w:rsidR="00442A24" w:rsidRPr="00A519E9" w:rsidRDefault="00442A24" w:rsidP="00A3517A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sz w:val="12"/>
          <w:szCs w:val="12"/>
          <w:lang w:eastAsia="fr-FR"/>
        </w:rPr>
      </w:pPr>
    </w:p>
    <w:p w:rsidR="002E26AD" w:rsidRPr="00A519E9" w:rsidRDefault="002E26AD" w:rsidP="002E26AD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A519E9">
        <w:rPr>
          <w:rFonts w:ascii="ITC New Baskerville Std" w:hAnsi="ITC New Baskerville Std" w:cstheme="minorHAnsi"/>
          <w:sz w:val="18"/>
          <w:szCs w:val="18"/>
        </w:rPr>
        <w:tab/>
      </w:r>
    </w:p>
    <w:p w:rsidR="002E26AD" w:rsidRPr="00A519E9" w:rsidRDefault="002E26AD" w:rsidP="002E26AD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A519E9">
        <w:rPr>
          <w:rFonts w:ascii="ITC New Baskerville Std" w:hAnsi="ITC New Baskerville Std" w:cstheme="minorHAnsi"/>
          <w:sz w:val="18"/>
          <w:szCs w:val="18"/>
        </w:rPr>
        <w:t>- Decisión nº 1720/2006/CE do Parlamento Europeo e do Consello do 15 de novembro de 2006, polo que se establece un programa de acción no ámbito da aprendizaxe permanente.</w:t>
      </w:r>
    </w:p>
    <w:p w:rsidR="002E26AD" w:rsidRPr="00A519E9" w:rsidRDefault="002E26AD" w:rsidP="002E26AD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8"/>
          <w:szCs w:val="8"/>
        </w:rPr>
      </w:pPr>
    </w:p>
    <w:p w:rsidR="00EE5DC0" w:rsidRPr="00A519E9" w:rsidRDefault="00EE5DC0" w:rsidP="00EE5DC0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A519E9">
        <w:rPr>
          <w:rFonts w:ascii="ITC New Baskerville Std" w:hAnsi="ITC New Baskerville Std" w:cstheme="minorHAnsi"/>
          <w:sz w:val="18"/>
          <w:szCs w:val="18"/>
        </w:rPr>
        <w:t xml:space="preserve">- </w:t>
      </w:r>
      <w:r w:rsidR="00A77F53" w:rsidRPr="00A519E9">
        <w:rPr>
          <w:rFonts w:ascii="ITC New Baskerville Std" w:hAnsi="ITC New Baskerville Std" w:cstheme="minorHAnsi"/>
          <w:sz w:val="18"/>
          <w:szCs w:val="18"/>
        </w:rPr>
        <w:t>Lei</w:t>
      </w:r>
      <w:r w:rsidRPr="00A519E9">
        <w:rPr>
          <w:rFonts w:ascii="ITC New Baskerville Std" w:hAnsi="ITC New Baskerville Std" w:cstheme="minorHAnsi"/>
          <w:sz w:val="18"/>
          <w:szCs w:val="18"/>
        </w:rPr>
        <w:t xml:space="preserve"> </w:t>
      </w:r>
      <w:r w:rsidR="003424DC">
        <w:rPr>
          <w:rFonts w:ascii="ITC New Baskerville Std" w:hAnsi="ITC New Baskerville Std" w:cstheme="minorHAnsi"/>
          <w:sz w:val="18"/>
          <w:szCs w:val="18"/>
        </w:rPr>
        <w:t>o</w:t>
      </w:r>
      <w:r w:rsidRPr="00A519E9">
        <w:rPr>
          <w:rFonts w:ascii="ITC New Baskerville Std" w:hAnsi="ITC New Baskerville Std" w:cstheme="minorHAnsi"/>
          <w:sz w:val="18"/>
          <w:szCs w:val="18"/>
        </w:rPr>
        <w:t>rgánica 4/2007, do 12 de abril, po</w:t>
      </w:r>
      <w:r w:rsidR="00A77F53" w:rsidRPr="00A519E9">
        <w:rPr>
          <w:rFonts w:ascii="ITC New Baskerville Std" w:hAnsi="ITC New Baskerville Std" w:cstheme="minorHAnsi"/>
          <w:sz w:val="18"/>
          <w:szCs w:val="18"/>
        </w:rPr>
        <w:t>l</w:t>
      </w:r>
      <w:r w:rsidRPr="00A519E9">
        <w:rPr>
          <w:rFonts w:ascii="ITC New Baskerville Std" w:hAnsi="ITC New Baskerville Std" w:cstheme="minorHAnsi"/>
          <w:sz w:val="18"/>
          <w:szCs w:val="18"/>
        </w:rPr>
        <w:t>a que se modifica a Le</w:t>
      </w:r>
      <w:r w:rsidR="00A77F53" w:rsidRPr="00A519E9">
        <w:rPr>
          <w:rFonts w:ascii="ITC New Baskerville Std" w:hAnsi="ITC New Baskerville Std" w:cstheme="minorHAnsi"/>
          <w:sz w:val="18"/>
          <w:szCs w:val="18"/>
        </w:rPr>
        <w:t>i</w:t>
      </w:r>
      <w:r w:rsidRPr="00A519E9">
        <w:rPr>
          <w:rFonts w:ascii="ITC New Baskerville Std" w:hAnsi="ITC New Baskerville Std" w:cstheme="minorHAnsi"/>
          <w:sz w:val="18"/>
          <w:szCs w:val="18"/>
        </w:rPr>
        <w:t xml:space="preserve"> </w:t>
      </w:r>
      <w:r w:rsidR="003424DC">
        <w:rPr>
          <w:rFonts w:ascii="ITC New Baskerville Std" w:hAnsi="ITC New Baskerville Std" w:cstheme="minorHAnsi"/>
          <w:sz w:val="18"/>
          <w:szCs w:val="18"/>
        </w:rPr>
        <w:t>o</w:t>
      </w:r>
      <w:r w:rsidRPr="00A519E9">
        <w:rPr>
          <w:rFonts w:ascii="ITC New Baskerville Std" w:hAnsi="ITC New Baskerville Std" w:cstheme="minorHAnsi"/>
          <w:sz w:val="18"/>
          <w:szCs w:val="18"/>
        </w:rPr>
        <w:t>rgánica 6/2001, do 21 de decembro, de Universidades.</w:t>
      </w:r>
    </w:p>
    <w:p w:rsidR="00EE5DC0" w:rsidRPr="00A519E9" w:rsidRDefault="00EE5DC0" w:rsidP="00EE5DC0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i/>
          <w:sz w:val="8"/>
          <w:szCs w:val="8"/>
        </w:rPr>
      </w:pPr>
    </w:p>
    <w:p w:rsidR="00A77F53" w:rsidRPr="00A519E9" w:rsidRDefault="00A77F53" w:rsidP="00A77F53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A519E9">
        <w:rPr>
          <w:rFonts w:ascii="ITC New Baskerville Std" w:hAnsi="ITC New Baskerville Std" w:cstheme="minorHAnsi"/>
          <w:sz w:val="18"/>
          <w:szCs w:val="18"/>
        </w:rPr>
        <w:t>- RD 861/2010, do 2 de xullo, polo que se modifica o RD 1393/2007, do 29 de outubro, polo que se establece a ordenación das ensinanzas universitarias oficiais.</w:t>
      </w:r>
    </w:p>
    <w:p w:rsidR="00EE5DC0" w:rsidRPr="00A519E9" w:rsidRDefault="00EE5DC0" w:rsidP="00EE5DC0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i/>
          <w:sz w:val="8"/>
          <w:szCs w:val="8"/>
        </w:rPr>
      </w:pPr>
    </w:p>
    <w:p w:rsidR="00EE5DC0" w:rsidRPr="00A519E9" w:rsidRDefault="00EE5DC0" w:rsidP="00EE5DC0">
      <w:pPr>
        <w:spacing w:after="0" w:line="240" w:lineRule="auto"/>
        <w:ind w:firstLine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A519E9">
        <w:rPr>
          <w:rFonts w:ascii="ITC New Baskerville Std" w:hAnsi="ITC New Baskerville Std" w:cstheme="minorHAnsi"/>
          <w:sz w:val="18"/>
          <w:szCs w:val="18"/>
        </w:rPr>
        <w:t>- RD 1791/2010, d</w:t>
      </w:r>
      <w:r w:rsidR="00A77F53" w:rsidRPr="00A519E9">
        <w:rPr>
          <w:rFonts w:ascii="ITC New Baskerville Std" w:hAnsi="ITC New Baskerville Std" w:cstheme="minorHAnsi"/>
          <w:sz w:val="18"/>
          <w:szCs w:val="18"/>
        </w:rPr>
        <w:t>o</w:t>
      </w:r>
      <w:r w:rsidRPr="00A519E9">
        <w:rPr>
          <w:rFonts w:ascii="ITC New Baskerville Std" w:hAnsi="ITC New Baskerville Std" w:cstheme="minorHAnsi"/>
          <w:sz w:val="18"/>
          <w:szCs w:val="18"/>
        </w:rPr>
        <w:t xml:space="preserve"> 30 de d</w:t>
      </w:r>
      <w:r w:rsidR="00A77F53" w:rsidRPr="00A519E9">
        <w:rPr>
          <w:rFonts w:ascii="ITC New Baskerville Std" w:hAnsi="ITC New Baskerville Std" w:cstheme="minorHAnsi"/>
          <w:sz w:val="18"/>
          <w:szCs w:val="18"/>
        </w:rPr>
        <w:t>e</w:t>
      </w:r>
      <w:r w:rsidRPr="00A519E9">
        <w:rPr>
          <w:rFonts w:ascii="ITC New Baskerville Std" w:hAnsi="ITC New Baskerville Std" w:cstheme="minorHAnsi"/>
          <w:sz w:val="18"/>
          <w:szCs w:val="18"/>
        </w:rPr>
        <w:t>cembr</w:t>
      </w:r>
      <w:r w:rsidR="00A77F53" w:rsidRPr="00A519E9">
        <w:rPr>
          <w:rFonts w:ascii="ITC New Baskerville Std" w:hAnsi="ITC New Baskerville Std" w:cstheme="minorHAnsi"/>
          <w:sz w:val="18"/>
          <w:szCs w:val="18"/>
        </w:rPr>
        <w:t>o</w:t>
      </w:r>
      <w:r w:rsidRPr="00A519E9">
        <w:rPr>
          <w:rFonts w:ascii="ITC New Baskerville Std" w:hAnsi="ITC New Baskerville Std" w:cstheme="minorHAnsi"/>
          <w:sz w:val="18"/>
          <w:szCs w:val="18"/>
        </w:rPr>
        <w:t>, po</w:t>
      </w:r>
      <w:r w:rsidR="00A77F53" w:rsidRPr="00A519E9">
        <w:rPr>
          <w:rFonts w:ascii="ITC New Baskerville Std" w:hAnsi="ITC New Baskerville Std" w:cstheme="minorHAnsi"/>
          <w:sz w:val="18"/>
          <w:szCs w:val="18"/>
        </w:rPr>
        <w:t>lo</w:t>
      </w:r>
      <w:r w:rsidRPr="00A519E9">
        <w:rPr>
          <w:rFonts w:ascii="ITC New Baskerville Std" w:hAnsi="ITC New Baskerville Std" w:cstheme="minorHAnsi"/>
          <w:sz w:val="18"/>
          <w:szCs w:val="18"/>
        </w:rPr>
        <w:t xml:space="preserve"> que se apr</w:t>
      </w:r>
      <w:r w:rsidR="00A77F53" w:rsidRPr="00A519E9">
        <w:rPr>
          <w:rFonts w:ascii="ITC New Baskerville Std" w:hAnsi="ITC New Baskerville Std" w:cstheme="minorHAnsi"/>
          <w:sz w:val="18"/>
          <w:szCs w:val="18"/>
        </w:rPr>
        <w:t>o</w:t>
      </w:r>
      <w:r w:rsidRPr="00A519E9">
        <w:rPr>
          <w:rFonts w:ascii="ITC New Baskerville Std" w:hAnsi="ITC New Baskerville Std" w:cstheme="minorHAnsi"/>
          <w:sz w:val="18"/>
          <w:szCs w:val="18"/>
        </w:rPr>
        <w:t xml:space="preserve">ba </w:t>
      </w:r>
      <w:r w:rsidR="00A77F53" w:rsidRPr="00A519E9">
        <w:rPr>
          <w:rFonts w:ascii="ITC New Baskerville Std" w:hAnsi="ITC New Baskerville Std" w:cstheme="minorHAnsi"/>
          <w:sz w:val="18"/>
          <w:szCs w:val="18"/>
        </w:rPr>
        <w:t>o</w:t>
      </w:r>
      <w:r w:rsidRPr="00A519E9">
        <w:rPr>
          <w:rFonts w:ascii="ITC New Baskerville Std" w:hAnsi="ITC New Baskerville Std" w:cstheme="minorHAnsi"/>
          <w:sz w:val="18"/>
          <w:szCs w:val="18"/>
        </w:rPr>
        <w:t xml:space="preserve"> Estatuto d</w:t>
      </w:r>
      <w:r w:rsidR="00A77F53" w:rsidRPr="00A519E9">
        <w:rPr>
          <w:rFonts w:ascii="ITC New Baskerville Std" w:hAnsi="ITC New Baskerville Std" w:cstheme="minorHAnsi"/>
          <w:sz w:val="18"/>
          <w:szCs w:val="18"/>
        </w:rPr>
        <w:t>o</w:t>
      </w:r>
      <w:r w:rsidRPr="00A519E9">
        <w:rPr>
          <w:rFonts w:ascii="ITC New Baskerville Std" w:hAnsi="ITC New Baskerville Std" w:cstheme="minorHAnsi"/>
          <w:sz w:val="18"/>
          <w:szCs w:val="18"/>
        </w:rPr>
        <w:t xml:space="preserve"> </w:t>
      </w:r>
      <w:r w:rsidR="003424DC">
        <w:rPr>
          <w:rFonts w:ascii="ITC New Baskerville Std" w:hAnsi="ITC New Baskerville Std" w:cstheme="minorHAnsi"/>
          <w:sz w:val="18"/>
          <w:szCs w:val="18"/>
        </w:rPr>
        <w:t xml:space="preserve">(da) </w:t>
      </w:r>
      <w:r w:rsidR="009F186E">
        <w:rPr>
          <w:rFonts w:ascii="ITC New Baskerville Std" w:hAnsi="ITC New Baskerville Std" w:cstheme="minorHAnsi"/>
          <w:sz w:val="18"/>
          <w:szCs w:val="18"/>
        </w:rPr>
        <w:t>e</w:t>
      </w:r>
      <w:r w:rsidRPr="00A519E9">
        <w:rPr>
          <w:rFonts w:ascii="ITC New Baskerville Std" w:hAnsi="ITC New Baskerville Std" w:cstheme="minorHAnsi"/>
          <w:sz w:val="18"/>
          <w:szCs w:val="18"/>
        </w:rPr>
        <w:t xml:space="preserve">studante </w:t>
      </w:r>
      <w:r w:rsidR="009F186E">
        <w:rPr>
          <w:rFonts w:ascii="ITC New Baskerville Std" w:hAnsi="ITC New Baskerville Std" w:cstheme="minorHAnsi"/>
          <w:sz w:val="18"/>
          <w:szCs w:val="18"/>
        </w:rPr>
        <w:t>u</w:t>
      </w:r>
      <w:r w:rsidRPr="00A519E9">
        <w:rPr>
          <w:rFonts w:ascii="ITC New Baskerville Std" w:hAnsi="ITC New Baskerville Std" w:cstheme="minorHAnsi"/>
          <w:sz w:val="18"/>
          <w:szCs w:val="18"/>
        </w:rPr>
        <w:t>niversitario.</w:t>
      </w:r>
    </w:p>
    <w:p w:rsidR="00EE5DC0" w:rsidRPr="00A519E9" w:rsidRDefault="00EE5DC0" w:rsidP="00EE5DC0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</w:p>
    <w:p w:rsidR="00EE5DC0" w:rsidRPr="00A519E9" w:rsidRDefault="00EE5DC0" w:rsidP="00EE5DC0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A519E9">
        <w:rPr>
          <w:rFonts w:ascii="ITC New Baskerville Std" w:hAnsi="ITC New Baskerville Std" w:cstheme="minorHAnsi"/>
          <w:sz w:val="18"/>
          <w:szCs w:val="18"/>
        </w:rPr>
        <w:t>- Estatutos da Universidade de Vigo.</w:t>
      </w:r>
    </w:p>
    <w:p w:rsidR="00EE5DC0" w:rsidRPr="00A519E9" w:rsidRDefault="00EE5DC0" w:rsidP="00EE5DC0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i/>
          <w:sz w:val="8"/>
          <w:szCs w:val="8"/>
        </w:rPr>
      </w:pPr>
    </w:p>
    <w:p w:rsidR="00EE5DC0" w:rsidRPr="00A519E9" w:rsidRDefault="00A77F53" w:rsidP="00EE5DC0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A519E9">
        <w:rPr>
          <w:rFonts w:ascii="ITC New Baskerville Std" w:hAnsi="ITC New Baskerville Std" w:cstheme="minorHAnsi"/>
          <w:sz w:val="18"/>
          <w:szCs w:val="18"/>
        </w:rPr>
        <w:t>- Resolución reitoral da Universidade de Vigo, do 5 de setembro de 2011, de delegación de competencias.</w:t>
      </w:r>
    </w:p>
    <w:p w:rsidR="008E07AB" w:rsidRPr="00A519E9" w:rsidRDefault="008E07AB" w:rsidP="008E07AB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i/>
          <w:sz w:val="8"/>
          <w:szCs w:val="8"/>
        </w:rPr>
      </w:pPr>
    </w:p>
    <w:p w:rsidR="008E07AB" w:rsidRPr="00A519E9" w:rsidRDefault="008E07AB" w:rsidP="008E07AB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A519E9">
        <w:rPr>
          <w:rFonts w:ascii="ITC New Baskerville Std" w:hAnsi="ITC New Baskerville Std" w:cstheme="minorHAnsi"/>
          <w:sz w:val="18"/>
          <w:szCs w:val="18"/>
        </w:rPr>
        <w:t>- Normativa da Universidad</w:t>
      </w:r>
      <w:r w:rsidR="00A519E9">
        <w:rPr>
          <w:rFonts w:ascii="ITC New Baskerville Std" w:hAnsi="ITC New Baskerville Std" w:cstheme="minorHAnsi"/>
          <w:sz w:val="18"/>
          <w:szCs w:val="18"/>
        </w:rPr>
        <w:t>e</w:t>
      </w:r>
      <w:r w:rsidR="009F186E">
        <w:rPr>
          <w:rFonts w:ascii="ITC New Baskerville Std" w:hAnsi="ITC New Baskerville Std" w:cstheme="minorHAnsi"/>
          <w:sz w:val="18"/>
          <w:szCs w:val="18"/>
        </w:rPr>
        <w:t xml:space="preserve"> de Vigo en materia de r</w:t>
      </w:r>
      <w:r w:rsidRPr="00A519E9">
        <w:rPr>
          <w:rFonts w:ascii="ITC New Baskerville Std" w:hAnsi="ITC New Baskerville Std" w:cstheme="minorHAnsi"/>
          <w:sz w:val="18"/>
          <w:szCs w:val="18"/>
        </w:rPr>
        <w:t xml:space="preserve">elacións </w:t>
      </w:r>
      <w:r w:rsidR="009F186E">
        <w:rPr>
          <w:rFonts w:ascii="ITC New Baskerville Std" w:hAnsi="ITC New Baskerville Std" w:cstheme="minorHAnsi"/>
          <w:sz w:val="18"/>
          <w:szCs w:val="18"/>
        </w:rPr>
        <w:t>i</w:t>
      </w:r>
      <w:r w:rsidRPr="00A519E9">
        <w:rPr>
          <w:rFonts w:ascii="ITC New Baskerville Std" w:hAnsi="ITC New Baskerville Std" w:cstheme="minorHAnsi"/>
          <w:sz w:val="18"/>
          <w:szCs w:val="18"/>
        </w:rPr>
        <w:t>nternacionais.</w:t>
      </w:r>
    </w:p>
    <w:p w:rsidR="00EE5DC0" w:rsidRPr="00A519E9" w:rsidRDefault="00EE5DC0" w:rsidP="00EE5DC0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8"/>
          <w:szCs w:val="8"/>
        </w:rPr>
      </w:pPr>
    </w:p>
    <w:p w:rsidR="008E07AB" w:rsidRPr="00A519E9" w:rsidRDefault="008E07AB" w:rsidP="008E07AB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A519E9">
        <w:rPr>
          <w:rFonts w:ascii="ITC New Baskerville Std" w:hAnsi="ITC New Baskerville Std" w:cstheme="minorHAnsi"/>
          <w:sz w:val="18"/>
          <w:szCs w:val="18"/>
        </w:rPr>
        <w:t>- Normativa de libre mobilidade da Universidad</w:t>
      </w:r>
      <w:r w:rsidR="00A519E9">
        <w:rPr>
          <w:rFonts w:ascii="ITC New Baskerville Std" w:hAnsi="ITC New Baskerville Std" w:cstheme="minorHAnsi"/>
          <w:sz w:val="18"/>
          <w:szCs w:val="18"/>
        </w:rPr>
        <w:t>e</w:t>
      </w:r>
      <w:r w:rsidRPr="00A519E9">
        <w:rPr>
          <w:rFonts w:ascii="ITC New Baskerville Std" w:hAnsi="ITC New Baskerville Std" w:cstheme="minorHAnsi"/>
          <w:sz w:val="18"/>
          <w:szCs w:val="18"/>
        </w:rPr>
        <w:t xml:space="preserve"> de Vigo.</w:t>
      </w:r>
    </w:p>
    <w:p w:rsidR="00EE5DC0" w:rsidRPr="00A519E9" w:rsidRDefault="00EE5DC0" w:rsidP="00EE5DC0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8"/>
          <w:szCs w:val="8"/>
        </w:rPr>
      </w:pPr>
    </w:p>
    <w:p w:rsidR="00D27FE6" w:rsidRPr="00A519E9" w:rsidRDefault="008E07AB" w:rsidP="008E07AB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A519E9">
        <w:rPr>
          <w:rFonts w:ascii="ITC New Baskerville Std" w:hAnsi="ITC New Baskerville Std" w:cstheme="minorHAnsi"/>
          <w:sz w:val="18"/>
          <w:szCs w:val="18"/>
        </w:rPr>
        <w:t>- Normativa reguladora do procedemento para a tramitación e aprobación de conv</w:t>
      </w:r>
      <w:r w:rsidR="009F186E">
        <w:rPr>
          <w:rFonts w:ascii="ITC New Baskerville Std" w:hAnsi="ITC New Baskerville Std" w:cstheme="minorHAnsi"/>
          <w:sz w:val="18"/>
          <w:szCs w:val="18"/>
        </w:rPr>
        <w:t>enios na Universidade de Vigo (a</w:t>
      </w:r>
      <w:r w:rsidRPr="00A519E9">
        <w:rPr>
          <w:rFonts w:ascii="ITC New Baskerville Std" w:hAnsi="ITC New Baskerville Std" w:cstheme="minorHAnsi"/>
          <w:sz w:val="18"/>
          <w:szCs w:val="18"/>
        </w:rPr>
        <w:t>cordo do Consello de Goberno da Universidade de Vigo 20 de novembro de 2007).</w:t>
      </w:r>
    </w:p>
    <w:p w:rsidR="008E07AB" w:rsidRPr="00A519E9" w:rsidRDefault="008E07AB" w:rsidP="008E07AB">
      <w:pPr>
        <w:spacing w:after="0" w:line="240" w:lineRule="auto"/>
        <w:ind w:left="284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</w:p>
    <w:p w:rsidR="008E07AB" w:rsidRPr="00A519E9" w:rsidRDefault="008E07AB" w:rsidP="00A3517A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</w:pPr>
    </w:p>
    <w:p w:rsidR="00442A24" w:rsidRPr="00A519E9" w:rsidRDefault="00D001A2" w:rsidP="00A3517A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</w:pPr>
      <w:r w:rsidRPr="00A519E9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Normas e estándares de calidade</w:t>
      </w:r>
    </w:p>
    <w:p w:rsidR="00442A24" w:rsidRPr="00A519E9" w:rsidRDefault="00442A24" w:rsidP="00A3517A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sz w:val="12"/>
          <w:szCs w:val="12"/>
          <w:lang w:eastAsia="fr-FR"/>
        </w:rPr>
      </w:pPr>
    </w:p>
    <w:p w:rsidR="00442A24" w:rsidRPr="00A519E9" w:rsidRDefault="00442A24" w:rsidP="00A3517A">
      <w:pPr>
        <w:spacing w:after="0" w:line="240" w:lineRule="auto"/>
        <w:ind w:left="851" w:hanging="567"/>
        <w:jc w:val="both"/>
        <w:rPr>
          <w:rFonts w:ascii="ITC New Baskerville Std" w:hAnsi="ITC New Baskerville Std" w:cstheme="minorHAnsi"/>
          <w:sz w:val="18"/>
          <w:szCs w:val="18"/>
        </w:rPr>
      </w:pPr>
      <w:r w:rsidRPr="00A519E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- </w:t>
      </w:r>
      <w:r w:rsidRPr="00A519E9">
        <w:rPr>
          <w:rFonts w:ascii="ITC New Baskerville Std" w:hAnsi="ITC New Baskerville Std" w:cstheme="minorHAnsi"/>
          <w:sz w:val="18"/>
          <w:szCs w:val="18"/>
        </w:rPr>
        <w:t xml:space="preserve">ENQA: Criterios e </w:t>
      </w:r>
      <w:r w:rsidR="0058229D" w:rsidRPr="00A519E9">
        <w:rPr>
          <w:rFonts w:ascii="ITC New Baskerville Std" w:hAnsi="ITC New Baskerville Std" w:cstheme="minorHAnsi"/>
          <w:sz w:val="18"/>
          <w:szCs w:val="18"/>
        </w:rPr>
        <w:t>d</w:t>
      </w:r>
      <w:r w:rsidRPr="00A519E9">
        <w:rPr>
          <w:rFonts w:ascii="ITC New Baskerville Std" w:hAnsi="ITC New Baskerville Std" w:cstheme="minorHAnsi"/>
          <w:sz w:val="18"/>
          <w:szCs w:val="18"/>
        </w:rPr>
        <w:t xml:space="preserve">irectrices para a </w:t>
      </w:r>
      <w:r w:rsidR="0058229D" w:rsidRPr="00A519E9">
        <w:rPr>
          <w:rFonts w:ascii="ITC New Baskerville Std" w:hAnsi="ITC New Baskerville Std" w:cstheme="minorHAnsi"/>
          <w:sz w:val="18"/>
          <w:szCs w:val="18"/>
        </w:rPr>
        <w:t>g</w:t>
      </w:r>
      <w:r w:rsidRPr="00A519E9">
        <w:rPr>
          <w:rFonts w:ascii="ITC New Baskerville Std" w:hAnsi="ITC New Baskerville Std" w:cstheme="minorHAnsi"/>
          <w:sz w:val="18"/>
          <w:szCs w:val="18"/>
        </w:rPr>
        <w:t xml:space="preserve">arantía de </w:t>
      </w:r>
      <w:r w:rsidR="0058229D" w:rsidRPr="00A519E9">
        <w:rPr>
          <w:rFonts w:ascii="ITC New Baskerville Std" w:hAnsi="ITC New Baskerville Std" w:cstheme="minorHAnsi"/>
          <w:sz w:val="18"/>
          <w:szCs w:val="18"/>
        </w:rPr>
        <w:t>c</w:t>
      </w:r>
      <w:r w:rsidR="009F186E">
        <w:rPr>
          <w:rFonts w:ascii="ITC New Baskerville Std" w:hAnsi="ITC New Baskerville Std" w:cstheme="minorHAnsi"/>
          <w:sz w:val="18"/>
          <w:szCs w:val="18"/>
        </w:rPr>
        <w:t>alidade no Espazo e</w:t>
      </w:r>
      <w:r w:rsidRPr="00A519E9">
        <w:rPr>
          <w:rFonts w:ascii="ITC New Baskerville Std" w:hAnsi="ITC New Baskerville Std" w:cstheme="minorHAnsi"/>
          <w:sz w:val="18"/>
          <w:szCs w:val="18"/>
        </w:rPr>
        <w:t xml:space="preserve">uropeo de </w:t>
      </w:r>
      <w:r w:rsidR="009F186E">
        <w:rPr>
          <w:rFonts w:ascii="ITC New Baskerville Std" w:hAnsi="ITC New Baskerville Std" w:cstheme="minorHAnsi"/>
          <w:sz w:val="18"/>
          <w:szCs w:val="18"/>
        </w:rPr>
        <w:t>e</w:t>
      </w:r>
      <w:r w:rsidRPr="00A519E9">
        <w:rPr>
          <w:rFonts w:ascii="ITC New Baskerville Std" w:hAnsi="ITC New Baskerville Std" w:cstheme="minorHAnsi"/>
          <w:sz w:val="18"/>
          <w:szCs w:val="18"/>
        </w:rPr>
        <w:t xml:space="preserve">ducación </w:t>
      </w:r>
      <w:r w:rsidR="009F186E">
        <w:rPr>
          <w:rFonts w:ascii="ITC New Baskerville Std" w:hAnsi="ITC New Baskerville Std" w:cstheme="minorHAnsi"/>
          <w:sz w:val="18"/>
          <w:szCs w:val="18"/>
        </w:rPr>
        <w:t>s</w:t>
      </w:r>
      <w:r w:rsidRPr="00A519E9">
        <w:rPr>
          <w:rFonts w:ascii="ITC New Baskerville Std" w:hAnsi="ITC New Baskerville Std" w:cstheme="minorHAnsi"/>
          <w:sz w:val="18"/>
          <w:szCs w:val="18"/>
        </w:rPr>
        <w:t xml:space="preserve">uperior. </w:t>
      </w:r>
    </w:p>
    <w:p w:rsidR="00442A24" w:rsidRPr="00A519E9" w:rsidRDefault="00442A24" w:rsidP="00612C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ITC New Baskerville Std" w:hAnsi="ITC New Baskerville Std" w:cstheme="minorHAnsi"/>
          <w:sz w:val="18"/>
          <w:szCs w:val="18"/>
        </w:rPr>
      </w:pPr>
      <w:r w:rsidRPr="00A519E9">
        <w:rPr>
          <w:rFonts w:ascii="ITC New Baskerville Std" w:hAnsi="ITC New Baskerville Std" w:cstheme="minorHAnsi"/>
          <w:sz w:val="18"/>
          <w:szCs w:val="18"/>
        </w:rPr>
        <w:t>1.</w:t>
      </w:r>
      <w:r w:rsidR="00D27FE6" w:rsidRPr="00A519E9">
        <w:rPr>
          <w:rFonts w:ascii="ITC New Baskerville Std" w:hAnsi="ITC New Baskerville Std" w:cstheme="minorHAnsi"/>
          <w:sz w:val="18"/>
          <w:szCs w:val="18"/>
        </w:rPr>
        <w:t>2</w:t>
      </w:r>
      <w:r w:rsidRPr="00A519E9">
        <w:rPr>
          <w:rFonts w:ascii="ITC New Baskerville Std" w:hAnsi="ITC New Baskerville Std" w:cstheme="minorHAnsi"/>
          <w:sz w:val="18"/>
          <w:szCs w:val="18"/>
        </w:rPr>
        <w:t xml:space="preserve"> </w:t>
      </w:r>
      <w:r w:rsidR="00D27FE6" w:rsidRPr="00A519E9">
        <w:rPr>
          <w:rFonts w:ascii="ITC New Baskerville Std" w:hAnsi="ITC New Baskerville Std" w:cstheme="minorHAnsi"/>
          <w:sz w:val="18"/>
          <w:szCs w:val="18"/>
        </w:rPr>
        <w:t>Aprobación, control e revisión periódica de programas e títulos</w:t>
      </w:r>
      <w:r w:rsidR="0058229D" w:rsidRPr="00A519E9">
        <w:rPr>
          <w:rFonts w:ascii="ITC New Baskerville Std" w:hAnsi="ITC New Baskerville Std" w:cstheme="minorHAnsi"/>
          <w:sz w:val="18"/>
          <w:szCs w:val="18"/>
        </w:rPr>
        <w:t>.</w:t>
      </w:r>
    </w:p>
    <w:p w:rsidR="00442A24" w:rsidRPr="00A519E9" w:rsidRDefault="00442A24" w:rsidP="00612C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ITC New Baskerville Std" w:hAnsi="ITC New Baskerville Std" w:cstheme="minorHAnsi"/>
          <w:sz w:val="18"/>
          <w:szCs w:val="18"/>
        </w:rPr>
      </w:pPr>
      <w:r w:rsidRPr="00A519E9">
        <w:rPr>
          <w:rFonts w:ascii="ITC New Baskerville Std" w:hAnsi="ITC New Baskerville Std" w:cstheme="minorHAnsi"/>
          <w:sz w:val="18"/>
          <w:szCs w:val="18"/>
        </w:rPr>
        <w:t>1.</w:t>
      </w:r>
      <w:r w:rsidR="00492A95" w:rsidRPr="00A519E9">
        <w:rPr>
          <w:rFonts w:ascii="ITC New Baskerville Std" w:hAnsi="ITC New Baskerville Std" w:cstheme="minorHAnsi"/>
          <w:sz w:val="18"/>
          <w:szCs w:val="18"/>
        </w:rPr>
        <w:t>3</w:t>
      </w:r>
      <w:r w:rsidRPr="00A519E9">
        <w:rPr>
          <w:rFonts w:ascii="ITC New Baskerville Std" w:hAnsi="ITC New Baskerville Std" w:cstheme="minorHAnsi"/>
          <w:sz w:val="18"/>
          <w:szCs w:val="18"/>
        </w:rPr>
        <w:t xml:space="preserve"> </w:t>
      </w:r>
      <w:r w:rsidR="00492A95" w:rsidRPr="00A519E9">
        <w:rPr>
          <w:rFonts w:ascii="ITC New Baskerville Std" w:hAnsi="ITC New Baskerville Std" w:cstheme="minorHAnsi"/>
          <w:sz w:val="18"/>
          <w:szCs w:val="18"/>
        </w:rPr>
        <w:t>Avaliación dos estudantes</w:t>
      </w:r>
      <w:r w:rsidR="00D27FE6" w:rsidRPr="00A519E9">
        <w:rPr>
          <w:rFonts w:ascii="ITC New Baskerville Std" w:hAnsi="ITC New Baskerville Std" w:cstheme="minorHAnsi"/>
          <w:sz w:val="18"/>
          <w:szCs w:val="18"/>
        </w:rPr>
        <w:t>.</w:t>
      </w:r>
    </w:p>
    <w:p w:rsidR="00442A24" w:rsidRPr="00A519E9" w:rsidRDefault="00442A24" w:rsidP="00A3517A">
      <w:pPr>
        <w:spacing w:after="0" w:line="240" w:lineRule="auto"/>
        <w:jc w:val="both"/>
        <w:rPr>
          <w:rFonts w:ascii="ITC New Baskerville Std" w:hAnsi="ITC New Baskerville Std" w:cstheme="minorHAnsi"/>
          <w:b/>
          <w:sz w:val="8"/>
          <w:szCs w:val="8"/>
        </w:rPr>
      </w:pPr>
    </w:p>
    <w:p w:rsidR="00442A24" w:rsidRPr="00A519E9" w:rsidRDefault="00442A24" w:rsidP="00A3517A">
      <w:pPr>
        <w:spacing w:after="0" w:line="240" w:lineRule="auto"/>
        <w:ind w:left="284"/>
        <w:jc w:val="both"/>
        <w:rPr>
          <w:rFonts w:ascii="ITC New Baskerville Std" w:eastAsia="Times New Roman" w:hAnsi="ITC New Baskerville Std" w:cstheme="minorHAnsi"/>
          <w:i/>
          <w:sz w:val="18"/>
          <w:szCs w:val="18"/>
          <w:lang w:eastAsia="fr-FR"/>
        </w:rPr>
      </w:pPr>
      <w:r w:rsidRPr="00A519E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ACSUG, ANECA e AQU</w:t>
      </w:r>
      <w:r w:rsidRPr="00A519E9">
        <w:rPr>
          <w:rFonts w:ascii="ITC New Baskerville Std" w:hAnsi="ITC New Baskerville Std" w:cstheme="minorHAnsi"/>
          <w:sz w:val="18"/>
          <w:szCs w:val="18"/>
        </w:rPr>
        <w:t xml:space="preserve">: Programa FIDES-AUDIT.  </w:t>
      </w:r>
      <w:r w:rsidRPr="00A519E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Documento 02: Directrices, definición e documentación dos Sistemas de </w:t>
      </w:r>
      <w:r w:rsidR="0058229D" w:rsidRPr="00A519E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g</w:t>
      </w:r>
      <w:r w:rsidRPr="00A519E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arantía </w:t>
      </w:r>
      <w:r w:rsidR="0058229D" w:rsidRPr="00A519E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i</w:t>
      </w:r>
      <w:r w:rsidRPr="00A519E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nterna da </w:t>
      </w:r>
      <w:r w:rsidR="0058229D" w:rsidRPr="00A519E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c</w:t>
      </w:r>
      <w:r w:rsidRPr="00A519E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alidade da formación universitaria. </w:t>
      </w:r>
    </w:p>
    <w:p w:rsidR="00442A24" w:rsidRPr="00A519E9" w:rsidRDefault="00442A24" w:rsidP="00612C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ITC New Baskerville Std" w:hAnsi="ITC New Baskerville Std" w:cstheme="minorHAnsi"/>
          <w:sz w:val="18"/>
          <w:szCs w:val="18"/>
        </w:rPr>
      </w:pPr>
      <w:r w:rsidRPr="00A519E9">
        <w:rPr>
          <w:rFonts w:ascii="ITC New Baskerville Std" w:hAnsi="ITC New Baskerville Std" w:cstheme="minorHAnsi"/>
          <w:sz w:val="18"/>
          <w:szCs w:val="18"/>
        </w:rPr>
        <w:t>Directriz 6. Desenvolvemento dos programas formativos e outras actuacións orientadas á</w:t>
      </w:r>
    </w:p>
    <w:p w:rsidR="00442A24" w:rsidRPr="00A519E9" w:rsidRDefault="00442A24" w:rsidP="00A3517A">
      <w:pPr>
        <w:spacing w:after="0" w:line="240" w:lineRule="auto"/>
        <w:ind w:left="1571"/>
        <w:contextualSpacing/>
        <w:jc w:val="both"/>
        <w:rPr>
          <w:rFonts w:ascii="ITC New Baskerville Std" w:hAnsi="ITC New Baskerville Std" w:cstheme="minorHAnsi"/>
          <w:sz w:val="18"/>
          <w:szCs w:val="18"/>
        </w:rPr>
      </w:pPr>
      <w:r w:rsidRPr="00A519E9">
        <w:rPr>
          <w:rFonts w:ascii="ITC New Baskerville Std" w:hAnsi="ITC New Baskerville Std" w:cstheme="minorHAnsi"/>
          <w:sz w:val="18"/>
          <w:szCs w:val="18"/>
        </w:rPr>
        <w:t>aprendizaxe do(a) estudante.</w:t>
      </w:r>
    </w:p>
    <w:p w:rsidR="00442A24" w:rsidRPr="00A519E9" w:rsidRDefault="00442A24" w:rsidP="00612C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ITC New Baskerville Std" w:hAnsi="ITC New Baskerville Std" w:cstheme="minorHAnsi"/>
          <w:sz w:val="18"/>
          <w:szCs w:val="18"/>
        </w:rPr>
      </w:pPr>
      <w:r w:rsidRPr="00A519E9">
        <w:rPr>
          <w:rFonts w:ascii="ITC New Baskerville Std" w:hAnsi="ITC New Baskerville Std" w:cstheme="minorHAnsi"/>
          <w:sz w:val="18"/>
          <w:szCs w:val="18"/>
        </w:rPr>
        <w:t xml:space="preserve">Directriz </w:t>
      </w:r>
      <w:r w:rsidR="006C762C" w:rsidRPr="00A519E9">
        <w:rPr>
          <w:rFonts w:ascii="ITC New Baskerville Std" w:hAnsi="ITC New Baskerville Std" w:cstheme="minorHAnsi"/>
          <w:sz w:val="18"/>
          <w:szCs w:val="18"/>
        </w:rPr>
        <w:t>9</w:t>
      </w:r>
      <w:r w:rsidRPr="00A519E9">
        <w:rPr>
          <w:rFonts w:ascii="ITC New Baskerville Std" w:hAnsi="ITC New Baskerville Std" w:cstheme="minorHAnsi"/>
          <w:sz w:val="18"/>
          <w:szCs w:val="18"/>
        </w:rPr>
        <w:t xml:space="preserve">. </w:t>
      </w:r>
      <w:r w:rsidR="006C762C" w:rsidRPr="00A519E9">
        <w:rPr>
          <w:rFonts w:ascii="ITC New Baskerville Std" w:hAnsi="ITC New Baskerville Std" w:cstheme="minorHAnsi"/>
          <w:sz w:val="18"/>
          <w:szCs w:val="18"/>
        </w:rPr>
        <w:t>Resultados para a mellora dos programas formativos</w:t>
      </w:r>
      <w:r w:rsidR="0058229D" w:rsidRPr="00A519E9">
        <w:rPr>
          <w:rFonts w:ascii="ITC New Baskerville Std" w:hAnsi="ITC New Baskerville Std" w:cstheme="minorHAnsi"/>
          <w:sz w:val="18"/>
          <w:szCs w:val="18"/>
        </w:rPr>
        <w:t>.</w:t>
      </w:r>
      <w:r w:rsidRPr="00A519E9">
        <w:rPr>
          <w:rFonts w:ascii="ITC New Baskerville Std" w:hAnsi="ITC New Baskerville Std" w:cstheme="minorHAnsi"/>
          <w:sz w:val="18"/>
          <w:szCs w:val="18"/>
        </w:rPr>
        <w:t xml:space="preserve"> </w:t>
      </w:r>
    </w:p>
    <w:p w:rsidR="00442A24" w:rsidRPr="00A519E9" w:rsidRDefault="00442A24" w:rsidP="00A3517A">
      <w:pPr>
        <w:spacing w:after="0" w:line="240" w:lineRule="auto"/>
        <w:jc w:val="both"/>
        <w:rPr>
          <w:rFonts w:ascii="ITC New Baskerville Std" w:hAnsi="ITC New Baskerville Std" w:cstheme="minorHAnsi"/>
          <w:i/>
          <w:sz w:val="8"/>
          <w:szCs w:val="8"/>
        </w:rPr>
      </w:pPr>
    </w:p>
    <w:p w:rsidR="00442A24" w:rsidRPr="00A519E9" w:rsidRDefault="00442A24" w:rsidP="00A3517A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A519E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ACSUG</w:t>
      </w:r>
      <w:r w:rsidRPr="00A519E9">
        <w:rPr>
          <w:rFonts w:ascii="ITC New Baskerville Std" w:hAnsi="ITC New Baskerville Std" w:cstheme="minorHAnsi"/>
          <w:sz w:val="18"/>
          <w:szCs w:val="18"/>
        </w:rPr>
        <w:t xml:space="preserve">: Programa </w:t>
      </w:r>
      <w:r w:rsidR="0058229D" w:rsidRPr="00A519E9">
        <w:rPr>
          <w:rFonts w:ascii="ITC New Baskerville Std" w:hAnsi="ITC New Baskerville Std" w:cstheme="minorHAnsi"/>
          <w:sz w:val="18"/>
          <w:szCs w:val="18"/>
        </w:rPr>
        <w:t xml:space="preserve">do </w:t>
      </w:r>
      <w:r w:rsidRPr="00A519E9">
        <w:rPr>
          <w:rFonts w:ascii="ITC New Baskerville Std" w:hAnsi="ITC New Baskerville Std" w:cstheme="minorHAnsi"/>
          <w:sz w:val="18"/>
          <w:szCs w:val="18"/>
        </w:rPr>
        <w:t xml:space="preserve">Seguimento de </w:t>
      </w:r>
      <w:r w:rsidR="0058229D" w:rsidRPr="00A519E9">
        <w:rPr>
          <w:rFonts w:ascii="ITC New Baskerville Std" w:hAnsi="ITC New Baskerville Std" w:cstheme="minorHAnsi"/>
          <w:sz w:val="18"/>
          <w:szCs w:val="18"/>
        </w:rPr>
        <w:t>t</w:t>
      </w:r>
      <w:r w:rsidRPr="00A519E9">
        <w:rPr>
          <w:rFonts w:ascii="ITC New Baskerville Std" w:hAnsi="ITC New Baskerville Std" w:cstheme="minorHAnsi"/>
          <w:sz w:val="18"/>
          <w:szCs w:val="18"/>
        </w:rPr>
        <w:t xml:space="preserve">ítulos </w:t>
      </w:r>
      <w:r w:rsidR="0058229D" w:rsidRPr="00A519E9">
        <w:rPr>
          <w:rFonts w:ascii="ITC New Baskerville Std" w:hAnsi="ITC New Baskerville Std" w:cstheme="minorHAnsi"/>
          <w:sz w:val="18"/>
          <w:szCs w:val="18"/>
        </w:rPr>
        <w:t>o</w:t>
      </w:r>
      <w:r w:rsidRPr="00A519E9">
        <w:rPr>
          <w:rFonts w:ascii="ITC New Baskerville Std" w:hAnsi="ITC New Baskerville Std" w:cstheme="minorHAnsi"/>
          <w:sz w:val="18"/>
          <w:szCs w:val="18"/>
        </w:rPr>
        <w:t>ficiais.</w:t>
      </w:r>
    </w:p>
    <w:p w:rsidR="00442A24" w:rsidRPr="00A519E9" w:rsidRDefault="00442A24" w:rsidP="00612C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ITC New Baskerville Std" w:hAnsi="ITC New Baskerville Std" w:cstheme="minorHAnsi"/>
          <w:sz w:val="18"/>
          <w:szCs w:val="18"/>
        </w:rPr>
      </w:pPr>
      <w:r w:rsidRPr="00A519E9">
        <w:rPr>
          <w:rFonts w:ascii="ITC New Baskerville Std" w:hAnsi="ITC New Baskerville Std" w:cstheme="minorHAnsi"/>
          <w:sz w:val="18"/>
          <w:szCs w:val="18"/>
        </w:rPr>
        <w:lastRenderedPageBreak/>
        <w:t xml:space="preserve">Criterio </w:t>
      </w:r>
      <w:r w:rsidR="006C762C" w:rsidRPr="00A519E9">
        <w:rPr>
          <w:rFonts w:ascii="ITC New Baskerville Std" w:hAnsi="ITC New Baskerville Std" w:cstheme="minorHAnsi"/>
          <w:sz w:val="18"/>
          <w:szCs w:val="18"/>
        </w:rPr>
        <w:t>5</w:t>
      </w:r>
      <w:r w:rsidR="0058229D" w:rsidRPr="00A519E9">
        <w:rPr>
          <w:rFonts w:ascii="ITC New Baskerville Std" w:hAnsi="ITC New Baskerville Std" w:cstheme="minorHAnsi"/>
          <w:sz w:val="18"/>
          <w:szCs w:val="18"/>
        </w:rPr>
        <w:t>.</w:t>
      </w:r>
      <w:r w:rsidRPr="00A519E9">
        <w:rPr>
          <w:rFonts w:ascii="ITC New Baskerville Std" w:hAnsi="ITC New Baskerville Std" w:cstheme="minorHAnsi"/>
          <w:sz w:val="18"/>
          <w:szCs w:val="18"/>
        </w:rPr>
        <w:t xml:space="preserve"> </w:t>
      </w:r>
      <w:r w:rsidR="006C762C" w:rsidRPr="00A519E9">
        <w:rPr>
          <w:rFonts w:ascii="ITC New Baskerville Std" w:hAnsi="ITC New Baskerville Std" w:cstheme="minorHAnsi"/>
          <w:sz w:val="18"/>
          <w:szCs w:val="18"/>
        </w:rPr>
        <w:t>Planificación das ensinanzas</w:t>
      </w:r>
      <w:r w:rsidR="00D27FE6" w:rsidRPr="00A519E9">
        <w:rPr>
          <w:rFonts w:ascii="ITC New Baskerville Std" w:hAnsi="ITC New Baskerville Std" w:cstheme="minorHAnsi"/>
          <w:sz w:val="18"/>
          <w:szCs w:val="18"/>
        </w:rPr>
        <w:t>.</w:t>
      </w:r>
    </w:p>
    <w:p w:rsidR="006C762C" w:rsidRPr="00A519E9" w:rsidRDefault="006C762C" w:rsidP="00612C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ITC New Baskerville Std" w:hAnsi="ITC New Baskerville Std" w:cstheme="minorHAnsi"/>
          <w:sz w:val="18"/>
          <w:szCs w:val="18"/>
        </w:rPr>
      </w:pPr>
      <w:r w:rsidRPr="00A519E9">
        <w:rPr>
          <w:rFonts w:ascii="ITC New Baskerville Std" w:hAnsi="ITC New Baskerville Std" w:cstheme="minorHAnsi"/>
          <w:sz w:val="18"/>
          <w:szCs w:val="18"/>
        </w:rPr>
        <w:t>Criterio 9. Sistema de Garantía Interna de Calidade.</w:t>
      </w:r>
    </w:p>
    <w:p w:rsidR="00442A24" w:rsidRPr="00A519E9" w:rsidRDefault="00442A24" w:rsidP="00A3517A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8"/>
          <w:szCs w:val="8"/>
        </w:rPr>
      </w:pPr>
    </w:p>
    <w:p w:rsidR="00442A24" w:rsidRPr="00A519E9" w:rsidRDefault="00442A24" w:rsidP="00A3517A">
      <w:pPr>
        <w:spacing w:after="0" w:line="240" w:lineRule="auto"/>
        <w:ind w:left="284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A519E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Norma UNE-EN ISO 9000: Sistemas de xestión da calidade. Fundamentos e vocabulario.</w:t>
      </w:r>
    </w:p>
    <w:p w:rsidR="00442A24" w:rsidRPr="00A519E9" w:rsidRDefault="00442A24" w:rsidP="00A3517A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</w:p>
    <w:p w:rsidR="00442A24" w:rsidRPr="00A519E9" w:rsidRDefault="00442A24" w:rsidP="00A3517A">
      <w:pPr>
        <w:spacing w:after="0" w:line="240" w:lineRule="auto"/>
        <w:ind w:left="284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A519E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Norma UNE-EN ISO 9001: Sistemas de xestión da calidade. Requisitos.</w:t>
      </w:r>
    </w:p>
    <w:p w:rsidR="00D27FE6" w:rsidRPr="00A519E9" w:rsidRDefault="00D27FE6" w:rsidP="00A3517A">
      <w:pPr>
        <w:spacing w:after="0" w:line="240" w:lineRule="auto"/>
        <w:ind w:left="284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</w:p>
    <w:p w:rsidR="00442A24" w:rsidRPr="00A519E9" w:rsidRDefault="00442A24" w:rsidP="00A3517A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</w:pPr>
    </w:p>
    <w:p w:rsidR="00442A24" w:rsidRPr="00A519E9" w:rsidRDefault="0058229D" w:rsidP="00A3517A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</w:pPr>
      <w:r w:rsidRPr="00A519E9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Outros documentos de referencia</w:t>
      </w:r>
    </w:p>
    <w:p w:rsidR="00442A24" w:rsidRPr="00A519E9" w:rsidRDefault="00442A24" w:rsidP="00A3517A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sz w:val="12"/>
          <w:szCs w:val="12"/>
          <w:lang w:eastAsia="fr-FR"/>
        </w:rPr>
      </w:pPr>
    </w:p>
    <w:p w:rsidR="00A519E9" w:rsidRPr="00A519E9" w:rsidRDefault="00A519E9" w:rsidP="00A519E9">
      <w:pPr>
        <w:spacing w:after="0" w:line="240" w:lineRule="auto"/>
        <w:ind w:firstLine="284"/>
        <w:jc w:val="both"/>
        <w:rPr>
          <w:rFonts w:ascii="ITC New Baskerville Std" w:hAnsi="ITC New Baskerville Std" w:cstheme="minorHAnsi"/>
          <w:i/>
          <w:sz w:val="18"/>
          <w:szCs w:val="18"/>
        </w:rPr>
      </w:pPr>
      <w:r w:rsidRPr="00A519E9">
        <w:rPr>
          <w:rFonts w:ascii="ITC New Baskerville Std" w:eastAsia="Times New Roman" w:hAnsi="ITC New Baskerville Std" w:cstheme="minorHAnsi"/>
          <w:i/>
          <w:sz w:val="18"/>
          <w:szCs w:val="18"/>
          <w:lang w:eastAsia="fr-FR"/>
        </w:rPr>
        <w:t xml:space="preserve">- </w:t>
      </w:r>
      <w:r w:rsidRPr="00A519E9">
        <w:rPr>
          <w:rFonts w:ascii="ITC New Baskerville Std" w:hAnsi="ITC New Baskerville Std" w:cstheme="minorHAnsi"/>
          <w:sz w:val="18"/>
          <w:szCs w:val="18"/>
        </w:rPr>
        <w:t>Plan Estraté</w:t>
      </w:r>
      <w:r>
        <w:rPr>
          <w:rFonts w:ascii="ITC New Baskerville Std" w:hAnsi="ITC New Baskerville Std" w:cstheme="minorHAnsi"/>
          <w:sz w:val="18"/>
          <w:szCs w:val="18"/>
        </w:rPr>
        <w:t>x</w:t>
      </w:r>
      <w:r w:rsidRPr="00A519E9">
        <w:rPr>
          <w:rFonts w:ascii="ITC New Baskerville Std" w:hAnsi="ITC New Baskerville Std" w:cstheme="minorHAnsi"/>
          <w:sz w:val="18"/>
          <w:szCs w:val="18"/>
        </w:rPr>
        <w:t>ico da Universidade de Vigo</w:t>
      </w:r>
      <w:r w:rsidRPr="00A519E9">
        <w:rPr>
          <w:rFonts w:ascii="ITC New Baskerville Std" w:hAnsi="ITC New Baskerville Std" w:cstheme="minorHAnsi"/>
          <w:i/>
          <w:sz w:val="18"/>
          <w:szCs w:val="18"/>
        </w:rPr>
        <w:t xml:space="preserve">. </w:t>
      </w:r>
    </w:p>
    <w:p w:rsidR="00A519E9" w:rsidRPr="00A519E9" w:rsidRDefault="00A519E9" w:rsidP="00A519E9">
      <w:pPr>
        <w:spacing w:after="0" w:line="240" w:lineRule="auto"/>
        <w:ind w:firstLine="284"/>
        <w:jc w:val="both"/>
        <w:rPr>
          <w:rFonts w:ascii="ITC New Baskerville Std" w:hAnsi="ITC New Baskerville Std" w:cstheme="minorHAnsi"/>
          <w:i/>
          <w:sz w:val="8"/>
          <w:szCs w:val="8"/>
        </w:rPr>
      </w:pPr>
    </w:p>
    <w:p w:rsidR="00A519E9" w:rsidRPr="00A519E9" w:rsidRDefault="00A519E9" w:rsidP="00A519E9">
      <w:pPr>
        <w:spacing w:after="0" w:line="240" w:lineRule="auto"/>
        <w:ind w:firstLine="284"/>
        <w:jc w:val="both"/>
        <w:rPr>
          <w:rFonts w:ascii="ITC New Baskerville Std" w:hAnsi="ITC New Baskerville Std" w:cstheme="minorHAnsi"/>
          <w:i/>
          <w:sz w:val="18"/>
          <w:szCs w:val="18"/>
        </w:rPr>
      </w:pPr>
      <w:r w:rsidRPr="00A519E9">
        <w:rPr>
          <w:rFonts w:ascii="ITC New Baskerville Std" w:eastAsia="Times New Roman" w:hAnsi="ITC New Baskerville Std" w:cstheme="minorHAnsi"/>
          <w:i/>
          <w:sz w:val="18"/>
          <w:szCs w:val="18"/>
          <w:lang w:eastAsia="fr-FR"/>
        </w:rPr>
        <w:t xml:space="preserve">- </w:t>
      </w:r>
      <w:r w:rsidRPr="00A519E9">
        <w:rPr>
          <w:rFonts w:ascii="ITC New Baskerville Std" w:hAnsi="ITC New Baskerville Std" w:cstheme="minorHAnsi"/>
          <w:sz w:val="18"/>
          <w:szCs w:val="18"/>
        </w:rPr>
        <w:t xml:space="preserve">Plan Operativo de </w:t>
      </w:r>
      <w:r>
        <w:rPr>
          <w:rFonts w:ascii="ITC New Baskerville Std" w:hAnsi="ITC New Baskerville Std" w:cstheme="minorHAnsi"/>
          <w:sz w:val="18"/>
          <w:szCs w:val="18"/>
        </w:rPr>
        <w:t>X</w:t>
      </w:r>
      <w:r w:rsidRPr="00A519E9">
        <w:rPr>
          <w:rFonts w:ascii="ITC New Baskerville Std" w:hAnsi="ITC New Baskerville Std" w:cstheme="minorHAnsi"/>
          <w:sz w:val="18"/>
          <w:szCs w:val="18"/>
        </w:rPr>
        <w:t>estión de la Universidade de Vigo</w:t>
      </w:r>
      <w:r w:rsidRPr="00A519E9">
        <w:rPr>
          <w:rFonts w:ascii="ITC New Baskerville Std" w:hAnsi="ITC New Baskerville Std" w:cstheme="minorHAnsi"/>
          <w:i/>
          <w:sz w:val="18"/>
          <w:szCs w:val="18"/>
        </w:rPr>
        <w:t xml:space="preserve">. </w:t>
      </w:r>
    </w:p>
    <w:p w:rsidR="00A519E9" w:rsidRPr="00A519E9" w:rsidRDefault="00A519E9" w:rsidP="00A519E9">
      <w:pPr>
        <w:spacing w:after="0" w:line="240" w:lineRule="auto"/>
        <w:ind w:firstLine="284"/>
        <w:jc w:val="both"/>
        <w:rPr>
          <w:rFonts w:ascii="ITC New Baskerville Std" w:hAnsi="ITC New Baskerville Std" w:cstheme="minorHAnsi"/>
          <w:i/>
          <w:sz w:val="8"/>
          <w:szCs w:val="8"/>
        </w:rPr>
      </w:pPr>
    </w:p>
    <w:p w:rsidR="00442A24" w:rsidRPr="00A519E9" w:rsidRDefault="00442A24" w:rsidP="00A3517A">
      <w:pPr>
        <w:spacing w:after="0" w:line="240" w:lineRule="auto"/>
        <w:ind w:firstLine="284"/>
        <w:jc w:val="both"/>
        <w:rPr>
          <w:rFonts w:ascii="ITC New Baskerville Std" w:hAnsi="ITC New Baskerville Std" w:cstheme="minorHAnsi"/>
          <w:i/>
          <w:sz w:val="18"/>
          <w:szCs w:val="18"/>
        </w:rPr>
      </w:pPr>
      <w:r w:rsidRPr="00A519E9">
        <w:rPr>
          <w:rFonts w:ascii="ITC New Baskerville Std" w:eastAsia="Times New Roman" w:hAnsi="ITC New Baskerville Std" w:cstheme="minorHAnsi"/>
          <w:i/>
          <w:sz w:val="18"/>
          <w:szCs w:val="18"/>
          <w:lang w:eastAsia="fr-FR"/>
        </w:rPr>
        <w:t xml:space="preserve">- </w:t>
      </w:r>
      <w:r w:rsidRPr="00A519E9">
        <w:rPr>
          <w:rFonts w:ascii="ITC New Baskerville Std" w:hAnsi="ITC New Baskerville Std" w:cstheme="minorHAnsi"/>
          <w:sz w:val="18"/>
          <w:szCs w:val="18"/>
        </w:rPr>
        <w:t>Universidade de Vigo</w:t>
      </w:r>
      <w:r w:rsidR="0058229D" w:rsidRPr="00A519E9">
        <w:rPr>
          <w:rFonts w:ascii="ITC New Baskerville Std" w:hAnsi="ITC New Baskerville Std" w:cstheme="minorHAnsi"/>
          <w:sz w:val="18"/>
          <w:szCs w:val="18"/>
        </w:rPr>
        <w:t>:</w:t>
      </w:r>
      <w:r w:rsidRPr="00A519E9">
        <w:rPr>
          <w:rFonts w:ascii="ITC New Baskerville Std" w:hAnsi="ITC New Baskerville Std" w:cstheme="minorHAnsi"/>
          <w:i/>
          <w:sz w:val="18"/>
          <w:szCs w:val="18"/>
        </w:rPr>
        <w:t xml:space="preserve"> Manual de linguaxe inclusiva no ámbito universitario. </w:t>
      </w:r>
    </w:p>
    <w:p w:rsidR="00442A24" w:rsidRPr="00A519E9" w:rsidRDefault="00442A24" w:rsidP="00A3517A">
      <w:pPr>
        <w:spacing w:after="0" w:line="240" w:lineRule="auto"/>
        <w:ind w:left="284"/>
        <w:jc w:val="both"/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</w:pPr>
    </w:p>
    <w:p w:rsidR="00442A24" w:rsidRPr="00A519E9" w:rsidRDefault="00442A24" w:rsidP="00442A24">
      <w:pPr>
        <w:spacing w:after="0" w:line="240" w:lineRule="auto"/>
        <w:rPr>
          <w:rFonts w:ascii="ITC New Baskerville Std" w:hAnsi="ITC New Baskerville Std" w:cstheme="minorHAnsi"/>
          <w:i/>
          <w:sz w:val="24"/>
          <w:szCs w:val="24"/>
        </w:rPr>
      </w:pPr>
    </w:p>
    <w:p w:rsidR="00442A24" w:rsidRPr="00A519E9" w:rsidRDefault="00442A24" w:rsidP="00442A24">
      <w:pPr>
        <w:pStyle w:val="Estilo5"/>
        <w:ind w:left="567" w:hanging="567"/>
        <w:rPr>
          <w:b/>
          <w:i w:val="0"/>
          <w:lang w:val="gl-ES"/>
        </w:rPr>
      </w:pPr>
      <w:r w:rsidRPr="00A519E9">
        <w:rPr>
          <w:b/>
          <w:i w:val="0"/>
          <w:lang w:val="gl-ES"/>
        </w:rPr>
        <w:t>Definicións</w:t>
      </w:r>
    </w:p>
    <w:p w:rsidR="00442A24" w:rsidRPr="00A519E9" w:rsidRDefault="00442A24" w:rsidP="00442A24">
      <w:pPr>
        <w:spacing w:after="0" w:line="240" w:lineRule="auto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8E07AB" w:rsidRPr="00A519E9" w:rsidRDefault="008E07AB" w:rsidP="008E07AB">
      <w:pPr>
        <w:spacing w:after="0" w:line="240" w:lineRule="auto"/>
        <w:ind w:left="2160" w:hanging="216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A519E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- </w:t>
      </w:r>
      <w:r w:rsidRPr="00A519E9">
        <w:rPr>
          <w:rFonts w:ascii="ITC New Baskerville Std" w:hAnsi="ITC New Baskerville Std" w:cstheme="minorHAnsi"/>
          <w:sz w:val="18"/>
          <w:szCs w:val="18"/>
        </w:rPr>
        <w:t>Mobilidade</w:t>
      </w:r>
      <w:r w:rsidRPr="00A519E9">
        <w:rPr>
          <w:rFonts w:ascii="ITC New Baskerville Std" w:hAnsi="ITC New Baskerville Std" w:cstheme="minorHAnsi"/>
          <w:sz w:val="18"/>
          <w:szCs w:val="18"/>
        </w:rPr>
        <w:tab/>
      </w:r>
      <w:r w:rsidRPr="00A519E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: permanencia dura</w:t>
      </w:r>
      <w:r w:rsidR="00A108A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nte un período de tempo noutro e</w:t>
      </w:r>
      <w:r w:rsidRPr="00A519E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stado membro (noutro país) co fin de cursar estudos, adquirir experiencia laboral ou participar noutra actividade de aprendizaxe ou ensino ou unha actividade administrativa afín, coa axuda, se é necesario, de cursos de preparación ou de refresco na lingua de acollida ou de traballo.</w:t>
      </w:r>
    </w:p>
    <w:p w:rsidR="008E07AB" w:rsidRPr="00A519E9" w:rsidRDefault="008E07AB" w:rsidP="008E07AB">
      <w:pPr>
        <w:spacing w:after="0" w:line="240" w:lineRule="auto"/>
        <w:ind w:left="2160"/>
        <w:jc w:val="both"/>
        <w:rPr>
          <w:rFonts w:ascii="ITC New Baskerville Std" w:hAnsi="ITC New Baskerville Std"/>
          <w:sz w:val="18"/>
          <w:szCs w:val="18"/>
        </w:rPr>
      </w:pPr>
      <w:r w:rsidRPr="00A519E9">
        <w:rPr>
          <w:rFonts w:ascii="ITC New Baskerville Std" w:hAnsi="ITC New Baskerville Std"/>
          <w:sz w:val="18"/>
          <w:szCs w:val="18"/>
        </w:rPr>
        <w:t>(Decisión nº 1720/2006/CE)</w:t>
      </w:r>
    </w:p>
    <w:p w:rsidR="008E07AB" w:rsidRPr="00A519E9" w:rsidRDefault="008E07AB" w:rsidP="008E07AB">
      <w:pPr>
        <w:spacing w:after="0" w:line="240" w:lineRule="auto"/>
        <w:ind w:left="2160"/>
        <w:jc w:val="both"/>
        <w:rPr>
          <w:rFonts w:ascii="ITC New Baskerville Std" w:hAnsi="ITC New Baskerville Std"/>
          <w:sz w:val="8"/>
          <w:szCs w:val="8"/>
        </w:rPr>
      </w:pPr>
    </w:p>
    <w:p w:rsidR="008E07AB" w:rsidRPr="00A519E9" w:rsidRDefault="008E07AB" w:rsidP="008E07AB">
      <w:pPr>
        <w:spacing w:after="0" w:line="240" w:lineRule="auto"/>
        <w:ind w:left="2160"/>
        <w:jc w:val="both"/>
        <w:rPr>
          <w:rFonts w:ascii="ITC New Baskerville Std" w:hAnsi="ITC New Baskerville Std"/>
          <w:sz w:val="18"/>
          <w:szCs w:val="18"/>
        </w:rPr>
      </w:pPr>
      <w:r w:rsidRPr="00A519E9">
        <w:rPr>
          <w:rFonts w:ascii="ITC New Baskerville Std" w:hAnsi="ITC New Baskerville Std"/>
          <w:sz w:val="18"/>
          <w:szCs w:val="18"/>
        </w:rPr>
        <w:t>Nota: A mobilidade é tamén aplicable no ámbito nacional.</w:t>
      </w:r>
    </w:p>
    <w:p w:rsidR="008E07AB" w:rsidRPr="00A519E9" w:rsidRDefault="008E07AB" w:rsidP="008E07AB">
      <w:pPr>
        <w:spacing w:after="0" w:line="240" w:lineRule="auto"/>
        <w:ind w:left="2160"/>
        <w:jc w:val="both"/>
        <w:rPr>
          <w:rFonts w:ascii="ITC New Baskerville Std" w:hAnsi="ITC New Baskerville Std" w:cs="Times New Roman"/>
          <w:sz w:val="8"/>
          <w:szCs w:val="8"/>
        </w:rPr>
      </w:pPr>
    </w:p>
    <w:p w:rsidR="008E07AB" w:rsidRPr="00A519E9" w:rsidRDefault="008E07AB" w:rsidP="001E3C4F">
      <w:pPr>
        <w:spacing w:after="0" w:line="240" w:lineRule="auto"/>
        <w:ind w:left="2160" w:hanging="2160"/>
        <w:jc w:val="both"/>
        <w:rPr>
          <w:rFonts w:ascii="ITC New Baskerville Std" w:hAnsi="ITC New Baskerville Std"/>
          <w:sz w:val="18"/>
          <w:szCs w:val="18"/>
        </w:rPr>
      </w:pPr>
      <w:r w:rsidRPr="00A519E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- </w:t>
      </w:r>
      <w:r w:rsidRPr="00A519E9">
        <w:rPr>
          <w:rFonts w:ascii="ITC New Baskerville Std" w:hAnsi="ITC New Baskerville Std" w:cstheme="minorHAnsi"/>
          <w:sz w:val="18"/>
          <w:szCs w:val="18"/>
        </w:rPr>
        <w:t>Aprendiza</w:t>
      </w:r>
      <w:r w:rsidR="001E3C4F" w:rsidRPr="00A519E9">
        <w:rPr>
          <w:rFonts w:ascii="ITC New Baskerville Std" w:hAnsi="ITC New Baskerville Std" w:cstheme="minorHAnsi"/>
          <w:sz w:val="18"/>
          <w:szCs w:val="18"/>
        </w:rPr>
        <w:t>x</w:t>
      </w:r>
      <w:r w:rsidRPr="00A519E9">
        <w:rPr>
          <w:rFonts w:ascii="ITC New Baskerville Std" w:hAnsi="ITC New Baskerville Std" w:cstheme="minorHAnsi"/>
          <w:sz w:val="18"/>
          <w:szCs w:val="18"/>
        </w:rPr>
        <w:t>e permanente</w:t>
      </w:r>
      <w:r w:rsidRPr="00A519E9">
        <w:rPr>
          <w:rFonts w:ascii="ITC New Baskerville Std" w:hAnsi="ITC New Baskerville Std" w:cstheme="minorHAnsi"/>
          <w:sz w:val="18"/>
          <w:szCs w:val="18"/>
        </w:rPr>
        <w:tab/>
      </w:r>
      <w:r w:rsidRPr="00A519E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: </w:t>
      </w:r>
      <w:r w:rsidR="001E3C4F" w:rsidRPr="00A519E9">
        <w:rPr>
          <w:rFonts w:ascii="ITC New Baskerville Std" w:hAnsi="ITC New Baskerville Std"/>
          <w:sz w:val="18"/>
          <w:szCs w:val="18"/>
        </w:rPr>
        <w:t>todas as actividades de educación xeral, educación e formación profesional, educación non formal e aprendizaxe informal emprendidas ao longo da vida, que permitan mellorar os coñecementos, as aptitudes e as competencias cunha perspectiva persoal, cívica, social e/ou laboral. Inclúe a prestación de servizos de asesoramento e orientación.</w:t>
      </w:r>
    </w:p>
    <w:p w:rsidR="008E07AB" w:rsidRPr="00A519E9" w:rsidRDefault="008E07AB" w:rsidP="008E07AB">
      <w:pPr>
        <w:spacing w:after="0" w:line="240" w:lineRule="auto"/>
        <w:ind w:left="2160"/>
        <w:jc w:val="both"/>
        <w:rPr>
          <w:rFonts w:ascii="ITC New Baskerville Std" w:hAnsi="ITC New Baskerville Std"/>
          <w:sz w:val="18"/>
          <w:szCs w:val="18"/>
        </w:rPr>
      </w:pPr>
      <w:r w:rsidRPr="00A519E9">
        <w:rPr>
          <w:rFonts w:ascii="ITC New Baskerville Std" w:hAnsi="ITC New Baskerville Std"/>
          <w:sz w:val="18"/>
          <w:szCs w:val="18"/>
        </w:rPr>
        <w:t>(Decisión nº 1720/2006/CE).</w:t>
      </w:r>
    </w:p>
    <w:p w:rsidR="008E07AB" w:rsidRPr="00A519E9" w:rsidRDefault="008E07AB" w:rsidP="008E07AB">
      <w:pPr>
        <w:spacing w:after="0" w:line="240" w:lineRule="auto"/>
        <w:ind w:left="2160"/>
        <w:jc w:val="both"/>
        <w:rPr>
          <w:rFonts w:ascii="ITC New Baskerville Std" w:eastAsia="Times New Roman" w:hAnsi="ITC New Baskerville Std" w:cstheme="minorHAnsi"/>
          <w:sz w:val="6"/>
          <w:szCs w:val="6"/>
          <w:lang w:eastAsia="fr-FR"/>
        </w:rPr>
      </w:pPr>
    </w:p>
    <w:p w:rsidR="008E07AB" w:rsidRPr="00A519E9" w:rsidRDefault="008E07AB" w:rsidP="001E3C4F">
      <w:pPr>
        <w:spacing w:after="0" w:line="240" w:lineRule="auto"/>
        <w:ind w:left="2160" w:hanging="2160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  <w:r w:rsidRPr="00A519E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- </w:t>
      </w:r>
      <w:r w:rsidR="001E3C4F" w:rsidRPr="00A519E9">
        <w:rPr>
          <w:rFonts w:ascii="ITC New Baskerville Std" w:hAnsi="ITC New Baskerville Std" w:cstheme="minorHAnsi"/>
          <w:sz w:val="18"/>
          <w:szCs w:val="18"/>
        </w:rPr>
        <w:t>Estud</w:t>
      </w:r>
      <w:r w:rsidRPr="00A519E9">
        <w:rPr>
          <w:rFonts w:ascii="ITC New Baskerville Std" w:hAnsi="ITC New Baskerville Std" w:cstheme="minorHAnsi"/>
          <w:sz w:val="18"/>
          <w:szCs w:val="18"/>
        </w:rPr>
        <w:t>ant</w:t>
      </w:r>
      <w:r w:rsidR="003424DC">
        <w:rPr>
          <w:rFonts w:ascii="ITC New Baskerville Std" w:hAnsi="ITC New Baskerville Std" w:cstheme="minorHAnsi"/>
          <w:sz w:val="18"/>
          <w:szCs w:val="18"/>
        </w:rPr>
        <w:t>ado propio</w:t>
      </w:r>
      <w:r w:rsidRPr="00A519E9">
        <w:rPr>
          <w:rFonts w:ascii="ITC New Baskerville Std" w:hAnsi="ITC New Baskerville Std" w:cstheme="minorHAnsi"/>
          <w:sz w:val="18"/>
          <w:szCs w:val="18"/>
        </w:rPr>
        <w:t xml:space="preserve"> de intercambio</w:t>
      </w:r>
      <w:r w:rsidRPr="00A519E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: </w:t>
      </w:r>
      <w:r w:rsidR="001E3C4F" w:rsidRPr="00A519E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estudantes que formaliza</w:t>
      </w:r>
      <w:r w:rsidR="000C1203" w:rsidRPr="00A519E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ran</w:t>
      </w:r>
      <w:r w:rsidR="001E3C4F" w:rsidRPr="00A519E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a matrícula na Universidade de Vigo en estudos conducentes á obtención de calquera título universitario oficial participante en programas de intercambio nacionais ou internacionais de mobilidade.</w:t>
      </w:r>
    </w:p>
    <w:p w:rsidR="008E07AB" w:rsidRPr="00A519E9" w:rsidRDefault="008E07AB" w:rsidP="008E07AB">
      <w:pPr>
        <w:spacing w:after="0" w:line="240" w:lineRule="auto"/>
        <w:ind w:left="2160" w:hanging="2160"/>
        <w:jc w:val="both"/>
        <w:rPr>
          <w:rFonts w:ascii="ITC New Baskerville Std" w:hAnsi="ITC New Baskerville Std"/>
          <w:sz w:val="18"/>
          <w:szCs w:val="18"/>
        </w:rPr>
      </w:pPr>
      <w:r w:rsidRPr="00A519E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- </w:t>
      </w:r>
      <w:r w:rsidR="000C1203" w:rsidRPr="00A519E9">
        <w:rPr>
          <w:rFonts w:ascii="ITC New Baskerville Std" w:hAnsi="ITC New Baskerville Std" w:cstheme="minorHAnsi"/>
          <w:sz w:val="18"/>
          <w:szCs w:val="18"/>
        </w:rPr>
        <w:t>Estud</w:t>
      </w:r>
      <w:r w:rsidRPr="00A519E9">
        <w:rPr>
          <w:rFonts w:ascii="ITC New Baskerville Std" w:hAnsi="ITC New Baskerville Std" w:cstheme="minorHAnsi"/>
          <w:sz w:val="18"/>
          <w:szCs w:val="18"/>
        </w:rPr>
        <w:t>ant</w:t>
      </w:r>
      <w:r w:rsidR="003424DC">
        <w:rPr>
          <w:rFonts w:ascii="ITC New Baskerville Std" w:hAnsi="ITC New Baskerville Std" w:cstheme="minorHAnsi"/>
          <w:sz w:val="18"/>
          <w:szCs w:val="18"/>
        </w:rPr>
        <w:t>ado</w:t>
      </w:r>
      <w:r w:rsidRPr="00A519E9">
        <w:rPr>
          <w:rFonts w:ascii="ITC New Baskerville Std" w:hAnsi="ITC New Baskerville Std" w:cstheme="minorHAnsi"/>
          <w:sz w:val="18"/>
          <w:szCs w:val="18"/>
        </w:rPr>
        <w:t xml:space="preserve"> a</w:t>
      </w:r>
      <w:r w:rsidR="000C1203" w:rsidRPr="00A519E9">
        <w:rPr>
          <w:rFonts w:ascii="ITC New Baskerville Std" w:hAnsi="ITC New Baskerville Std" w:cstheme="minorHAnsi"/>
          <w:sz w:val="18"/>
          <w:szCs w:val="18"/>
        </w:rPr>
        <w:t>lle</w:t>
      </w:r>
      <w:r w:rsidRPr="00A519E9">
        <w:rPr>
          <w:rFonts w:ascii="ITC New Baskerville Std" w:hAnsi="ITC New Baskerville Std" w:cstheme="minorHAnsi"/>
          <w:sz w:val="18"/>
          <w:szCs w:val="18"/>
        </w:rPr>
        <w:t>o de intercambio</w:t>
      </w:r>
      <w:r w:rsidRPr="00A519E9">
        <w:rPr>
          <w:rFonts w:ascii="ITC New Baskerville Std" w:hAnsi="ITC New Baskerville Std" w:cstheme="minorHAnsi"/>
          <w:sz w:val="18"/>
          <w:szCs w:val="18"/>
        </w:rPr>
        <w:tab/>
      </w:r>
      <w:r w:rsidRPr="00A519E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: </w:t>
      </w:r>
      <w:r w:rsidR="000C1203" w:rsidRPr="00A519E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estudantes provenientes doutras universidades nacionais ou internacionais distintas á Universidade de Vigo que se matriculan temporalmente en estudos conducentes á obtención de calquera título universitario oficial da Universidade de Vigo no marco dun programa de intercambio nacional ou internacional de mobilidade.</w:t>
      </w:r>
      <w:r w:rsidRPr="00A519E9">
        <w:rPr>
          <w:rFonts w:ascii="ITC New Baskerville Std" w:hAnsi="ITC New Baskerville Std"/>
          <w:sz w:val="18"/>
          <w:szCs w:val="18"/>
        </w:rPr>
        <w:t xml:space="preserve"> </w:t>
      </w:r>
    </w:p>
    <w:p w:rsidR="008E07AB" w:rsidRPr="00A519E9" w:rsidRDefault="008E07AB" w:rsidP="008E07AB">
      <w:pPr>
        <w:spacing w:after="0" w:line="240" w:lineRule="auto"/>
        <w:ind w:left="216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A519E9">
        <w:rPr>
          <w:rFonts w:ascii="ITC New Baskerville Std" w:hAnsi="ITC New Baskerville Std"/>
          <w:sz w:val="18"/>
          <w:szCs w:val="18"/>
        </w:rPr>
        <w:t>(Normativa de la Universidad</w:t>
      </w:r>
      <w:r w:rsidR="000C1203" w:rsidRPr="00A519E9">
        <w:rPr>
          <w:rFonts w:ascii="ITC New Baskerville Std" w:hAnsi="ITC New Baskerville Std"/>
          <w:sz w:val="18"/>
          <w:szCs w:val="18"/>
        </w:rPr>
        <w:t>e</w:t>
      </w:r>
      <w:r w:rsidRPr="00A519E9">
        <w:rPr>
          <w:rFonts w:ascii="ITC New Baskerville Std" w:hAnsi="ITC New Baskerville Std"/>
          <w:sz w:val="18"/>
          <w:szCs w:val="18"/>
        </w:rPr>
        <w:t xml:space="preserve"> de Vigo en materia de RI)</w:t>
      </w:r>
    </w:p>
    <w:p w:rsidR="008E07AB" w:rsidRPr="00A519E9" w:rsidRDefault="008E07AB" w:rsidP="008E07AB">
      <w:pPr>
        <w:tabs>
          <w:tab w:val="left" w:pos="2221"/>
        </w:tabs>
        <w:spacing w:after="0" w:line="240" w:lineRule="auto"/>
        <w:ind w:left="2160" w:hanging="2160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  <w:r w:rsidRPr="00A519E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</w:r>
    </w:p>
    <w:p w:rsidR="008E07AB" w:rsidRPr="00A519E9" w:rsidRDefault="008E07AB" w:rsidP="00AB4D4E">
      <w:pPr>
        <w:spacing w:after="0" w:line="240" w:lineRule="auto"/>
        <w:ind w:left="2160" w:hanging="216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A519E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- </w:t>
      </w:r>
      <w:r w:rsidRPr="00A519E9">
        <w:rPr>
          <w:rFonts w:ascii="ITC New Baskerville Std" w:hAnsi="ITC New Baskerville Std" w:cstheme="minorHAnsi"/>
          <w:sz w:val="18"/>
          <w:szCs w:val="18"/>
        </w:rPr>
        <w:t xml:space="preserve">Responsable de </w:t>
      </w:r>
      <w:r w:rsidR="003424DC">
        <w:rPr>
          <w:rFonts w:ascii="ITC New Baskerville Std" w:hAnsi="ITC New Baskerville Std" w:cstheme="minorHAnsi"/>
          <w:sz w:val="18"/>
          <w:szCs w:val="18"/>
        </w:rPr>
        <w:t>r</w:t>
      </w:r>
      <w:r w:rsidRPr="00A519E9">
        <w:rPr>
          <w:rFonts w:ascii="ITC New Baskerville Std" w:hAnsi="ITC New Baskerville Std" w:cstheme="minorHAnsi"/>
          <w:sz w:val="18"/>
          <w:szCs w:val="18"/>
        </w:rPr>
        <w:t>elaci</w:t>
      </w:r>
      <w:r w:rsidR="003424DC">
        <w:rPr>
          <w:rFonts w:ascii="ITC New Baskerville Std" w:hAnsi="ITC New Baskerville Std" w:cstheme="minorHAnsi"/>
          <w:sz w:val="18"/>
          <w:szCs w:val="18"/>
        </w:rPr>
        <w:t>ón</w:t>
      </w:r>
      <w:r w:rsidRPr="00A519E9">
        <w:rPr>
          <w:rFonts w:ascii="ITC New Baskerville Std" w:hAnsi="ITC New Baskerville Std" w:cstheme="minorHAnsi"/>
          <w:sz w:val="18"/>
          <w:szCs w:val="18"/>
        </w:rPr>
        <w:t xml:space="preserve">s </w:t>
      </w:r>
      <w:r w:rsidR="003424DC">
        <w:rPr>
          <w:rFonts w:ascii="ITC New Baskerville Std" w:hAnsi="ITC New Baskerville Std" w:cstheme="minorHAnsi"/>
          <w:sz w:val="18"/>
          <w:szCs w:val="18"/>
        </w:rPr>
        <w:t>i</w:t>
      </w:r>
      <w:r w:rsidRPr="00A519E9">
        <w:rPr>
          <w:rFonts w:ascii="ITC New Baskerville Std" w:hAnsi="ITC New Baskerville Std" w:cstheme="minorHAnsi"/>
          <w:sz w:val="18"/>
          <w:szCs w:val="18"/>
        </w:rPr>
        <w:t>nternaciona</w:t>
      </w:r>
      <w:r w:rsidR="00AB4D4E" w:rsidRPr="00A519E9">
        <w:rPr>
          <w:rFonts w:ascii="ITC New Baskerville Std" w:hAnsi="ITC New Baskerville Std" w:cstheme="minorHAnsi"/>
          <w:sz w:val="18"/>
          <w:szCs w:val="18"/>
        </w:rPr>
        <w:t>i</w:t>
      </w:r>
      <w:r w:rsidRPr="00A519E9">
        <w:rPr>
          <w:rFonts w:ascii="ITC New Baskerville Std" w:hAnsi="ITC New Baskerville Std" w:cstheme="minorHAnsi"/>
          <w:sz w:val="18"/>
          <w:szCs w:val="18"/>
        </w:rPr>
        <w:t>s d</w:t>
      </w:r>
      <w:r w:rsidR="00AB4D4E" w:rsidRPr="00A519E9">
        <w:rPr>
          <w:rFonts w:ascii="ITC New Baskerville Std" w:hAnsi="ITC New Baskerville Std" w:cstheme="minorHAnsi"/>
          <w:sz w:val="18"/>
          <w:szCs w:val="18"/>
        </w:rPr>
        <w:t>o</w:t>
      </w:r>
      <w:r w:rsidRPr="00A519E9">
        <w:rPr>
          <w:rFonts w:ascii="ITC New Baskerville Std" w:hAnsi="ITC New Baskerville Std" w:cstheme="minorHAnsi"/>
          <w:sz w:val="18"/>
          <w:szCs w:val="18"/>
        </w:rPr>
        <w:t xml:space="preserve"> centro</w:t>
      </w:r>
      <w:r w:rsidRPr="00A519E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: </w:t>
      </w:r>
      <w:r w:rsidR="00AB4D4E" w:rsidRPr="00A519E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persoa responsable institucional d</w:t>
      </w:r>
      <w:r w:rsidR="003424DC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a</w:t>
      </w:r>
      <w:r w:rsidR="00AB4D4E" w:rsidRPr="00A519E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coordinación e </w:t>
      </w:r>
      <w:r w:rsidR="003424DC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o </w:t>
      </w:r>
      <w:r w:rsidR="00AB4D4E" w:rsidRPr="00A519E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apoio das actividades de formación e docencia no ámbito das relacións internacionais dunha facultade ou escola.</w:t>
      </w:r>
    </w:p>
    <w:p w:rsidR="008E07AB" w:rsidRPr="00A519E9" w:rsidRDefault="008E07AB" w:rsidP="008E07AB">
      <w:pPr>
        <w:spacing w:after="0" w:line="240" w:lineRule="auto"/>
        <w:ind w:left="216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A519E9">
        <w:rPr>
          <w:rFonts w:ascii="ITC New Baskerville Std" w:hAnsi="ITC New Baskerville Std"/>
          <w:sz w:val="18"/>
          <w:szCs w:val="18"/>
        </w:rPr>
        <w:t>(Normativa de la Universidad</w:t>
      </w:r>
      <w:r w:rsidR="00AB4D4E" w:rsidRPr="00A519E9">
        <w:rPr>
          <w:rFonts w:ascii="ITC New Baskerville Std" w:hAnsi="ITC New Baskerville Std"/>
          <w:sz w:val="18"/>
          <w:szCs w:val="18"/>
        </w:rPr>
        <w:t>e</w:t>
      </w:r>
      <w:r w:rsidRPr="00A519E9">
        <w:rPr>
          <w:rFonts w:ascii="ITC New Baskerville Std" w:hAnsi="ITC New Baskerville Std"/>
          <w:sz w:val="18"/>
          <w:szCs w:val="18"/>
        </w:rPr>
        <w:t xml:space="preserve"> de Vigo en materia de RI)</w:t>
      </w:r>
    </w:p>
    <w:p w:rsidR="008E07AB" w:rsidRPr="00A519E9" w:rsidRDefault="008E07AB" w:rsidP="008E07AB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</w:p>
    <w:p w:rsidR="008E07AB" w:rsidRPr="00A519E9" w:rsidRDefault="008E07AB" w:rsidP="00AB4D4E">
      <w:pPr>
        <w:spacing w:after="0" w:line="240" w:lineRule="auto"/>
        <w:ind w:left="2160"/>
        <w:jc w:val="both"/>
        <w:rPr>
          <w:rFonts w:ascii="ITC New Baskerville Std" w:hAnsi="ITC New Baskerville Std"/>
          <w:sz w:val="18"/>
          <w:szCs w:val="18"/>
        </w:rPr>
      </w:pPr>
      <w:r w:rsidRPr="00A519E9">
        <w:rPr>
          <w:rFonts w:ascii="ITC New Baskerville Std" w:hAnsi="ITC New Baskerville Std"/>
          <w:sz w:val="18"/>
          <w:szCs w:val="18"/>
        </w:rPr>
        <w:t xml:space="preserve">Nota: </w:t>
      </w:r>
      <w:r w:rsidR="00AB4D4E" w:rsidRPr="00A519E9">
        <w:rPr>
          <w:rFonts w:ascii="ITC New Baskerville Std" w:hAnsi="ITC New Baskerville Std"/>
          <w:sz w:val="18"/>
          <w:szCs w:val="18"/>
        </w:rPr>
        <w:t>Esta definición pode ser aplicable aos programas de mobilidade (ex.: SICUE) de cada centro no ámbito nacional.</w:t>
      </w:r>
    </w:p>
    <w:p w:rsidR="008E07AB" w:rsidRPr="00A519E9" w:rsidRDefault="008E07AB" w:rsidP="008E07AB">
      <w:pPr>
        <w:spacing w:after="0" w:line="240" w:lineRule="auto"/>
        <w:ind w:left="2160"/>
        <w:jc w:val="both"/>
        <w:rPr>
          <w:rFonts w:ascii="ITC New Baskerville Std" w:hAnsi="ITC New Baskerville Std"/>
          <w:i/>
          <w:sz w:val="18"/>
          <w:szCs w:val="18"/>
        </w:rPr>
      </w:pPr>
    </w:p>
    <w:p w:rsidR="00AB4D4E" w:rsidRPr="00A519E9" w:rsidRDefault="008E07AB" w:rsidP="00AB4D4E">
      <w:pPr>
        <w:spacing w:after="0" w:line="240" w:lineRule="auto"/>
        <w:ind w:left="2160" w:hanging="216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A519E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- </w:t>
      </w:r>
      <w:r w:rsidR="00AB4D4E" w:rsidRPr="00A519E9">
        <w:rPr>
          <w:rFonts w:ascii="ITC New Baskerville Std" w:hAnsi="ITC New Baskerville Std" w:cstheme="minorHAnsi"/>
          <w:sz w:val="18"/>
          <w:szCs w:val="18"/>
        </w:rPr>
        <w:t>Ti</w:t>
      </w:r>
      <w:r w:rsidRPr="00A519E9">
        <w:rPr>
          <w:rFonts w:ascii="ITC New Baskerville Std" w:hAnsi="ITC New Baskerville Std" w:cstheme="minorHAnsi"/>
          <w:sz w:val="18"/>
          <w:szCs w:val="18"/>
        </w:rPr>
        <w:t>tor</w:t>
      </w:r>
      <w:r w:rsidR="003424DC">
        <w:rPr>
          <w:rFonts w:ascii="ITC New Baskerville Std" w:hAnsi="ITC New Baskerville Std" w:cstheme="minorHAnsi"/>
          <w:sz w:val="18"/>
          <w:szCs w:val="18"/>
        </w:rPr>
        <w:t>/a</w:t>
      </w:r>
      <w:r w:rsidRPr="00A519E9">
        <w:rPr>
          <w:rFonts w:ascii="ITC New Baskerville Std" w:hAnsi="ITC New Baskerville Std" w:cstheme="minorHAnsi"/>
          <w:sz w:val="18"/>
          <w:szCs w:val="18"/>
        </w:rPr>
        <w:t xml:space="preserve"> académico</w:t>
      </w:r>
      <w:r w:rsidR="003424DC">
        <w:rPr>
          <w:rFonts w:ascii="ITC New Baskerville Std" w:hAnsi="ITC New Baskerville Std" w:cstheme="minorHAnsi"/>
          <w:sz w:val="18"/>
          <w:szCs w:val="18"/>
        </w:rPr>
        <w:t>/a</w:t>
      </w:r>
      <w:r w:rsidRPr="00A519E9">
        <w:rPr>
          <w:rFonts w:ascii="ITC New Baskerville Std" w:hAnsi="ITC New Baskerville Std" w:cstheme="minorHAnsi"/>
          <w:sz w:val="18"/>
          <w:szCs w:val="18"/>
        </w:rPr>
        <w:t xml:space="preserve"> de intercambio bilateral</w:t>
      </w:r>
      <w:r w:rsidRPr="00A519E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: </w:t>
      </w:r>
      <w:r w:rsidR="00AB4D4E" w:rsidRPr="00A519E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profesor</w:t>
      </w:r>
      <w:r w:rsidR="003424DC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ado</w:t>
      </w:r>
      <w:r w:rsidR="00AB4D4E" w:rsidRPr="00A519E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encargado dun ou varios intercambios bilaterais. </w:t>
      </w:r>
    </w:p>
    <w:p w:rsidR="008E07AB" w:rsidRPr="00A519E9" w:rsidRDefault="008E07AB" w:rsidP="00AB4D4E">
      <w:pPr>
        <w:spacing w:after="0" w:line="240" w:lineRule="auto"/>
        <w:ind w:left="216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A519E9">
        <w:rPr>
          <w:rFonts w:ascii="ITC New Baskerville Std" w:hAnsi="ITC New Baskerville Std"/>
          <w:sz w:val="18"/>
          <w:szCs w:val="18"/>
        </w:rPr>
        <w:t>(Normativa de la Universidad</w:t>
      </w:r>
      <w:r w:rsidR="00AB4D4E" w:rsidRPr="00A519E9">
        <w:rPr>
          <w:rFonts w:ascii="ITC New Baskerville Std" w:hAnsi="ITC New Baskerville Std"/>
          <w:sz w:val="18"/>
          <w:szCs w:val="18"/>
        </w:rPr>
        <w:t>e</w:t>
      </w:r>
      <w:r w:rsidRPr="00A519E9">
        <w:rPr>
          <w:rFonts w:ascii="ITC New Baskerville Std" w:hAnsi="ITC New Baskerville Std"/>
          <w:sz w:val="18"/>
          <w:szCs w:val="18"/>
        </w:rPr>
        <w:t xml:space="preserve"> de Vigo en materia de RI)</w:t>
      </w:r>
    </w:p>
    <w:p w:rsidR="008E07AB" w:rsidRPr="00A519E9" w:rsidRDefault="008E07AB" w:rsidP="008E07AB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</w:p>
    <w:p w:rsidR="008E07AB" w:rsidRPr="00A519E9" w:rsidRDefault="008E07AB" w:rsidP="00AB4D4E">
      <w:pPr>
        <w:spacing w:after="0" w:line="240" w:lineRule="auto"/>
        <w:ind w:left="2160"/>
        <w:jc w:val="both"/>
        <w:rPr>
          <w:rFonts w:ascii="ITC New Baskerville Std" w:hAnsi="ITC New Baskerville Std"/>
          <w:sz w:val="18"/>
          <w:szCs w:val="18"/>
        </w:rPr>
      </w:pPr>
      <w:r w:rsidRPr="00A519E9">
        <w:rPr>
          <w:rFonts w:ascii="ITC New Baskerville Std" w:hAnsi="ITC New Baskerville Std"/>
          <w:sz w:val="18"/>
          <w:szCs w:val="18"/>
        </w:rPr>
        <w:t xml:space="preserve">Nota: </w:t>
      </w:r>
      <w:r w:rsidR="00AB4D4E" w:rsidRPr="00A519E9">
        <w:rPr>
          <w:rFonts w:ascii="ITC New Baskerville Std" w:hAnsi="ITC New Baskerville Std"/>
          <w:sz w:val="18"/>
          <w:szCs w:val="18"/>
        </w:rPr>
        <w:t>Esta definición pode ser aplicable aos programas de mobilidade (ex.: SICUE) de cada centro no ámbito nacional.</w:t>
      </w:r>
    </w:p>
    <w:p w:rsidR="00442A24" w:rsidRPr="00A519E9" w:rsidRDefault="00442A24" w:rsidP="00A3517A">
      <w:pPr>
        <w:spacing w:after="0" w:line="240" w:lineRule="auto"/>
        <w:jc w:val="both"/>
        <w:rPr>
          <w:rFonts w:ascii="ITC New Baskerville Std" w:hAnsi="ITC New Baskerville Std"/>
          <w:sz w:val="20"/>
          <w:szCs w:val="20"/>
        </w:rPr>
      </w:pPr>
    </w:p>
    <w:p w:rsidR="00442A24" w:rsidRPr="00A519E9" w:rsidRDefault="00442A24" w:rsidP="00442A24">
      <w:pPr>
        <w:pStyle w:val="Estilo5"/>
        <w:numPr>
          <w:ilvl w:val="0"/>
          <w:numId w:val="0"/>
        </w:numPr>
        <w:ind w:left="3060" w:hanging="360"/>
        <w:rPr>
          <w:lang w:val="gl-ES"/>
        </w:rPr>
      </w:pPr>
    </w:p>
    <w:p w:rsidR="00442A24" w:rsidRPr="00A519E9" w:rsidRDefault="00442A24" w:rsidP="00442A24">
      <w:pPr>
        <w:pStyle w:val="Estilo5"/>
        <w:ind w:left="567" w:hanging="567"/>
        <w:rPr>
          <w:b/>
          <w:i w:val="0"/>
          <w:lang w:val="gl-ES"/>
        </w:rPr>
      </w:pPr>
      <w:r w:rsidRPr="00A519E9">
        <w:rPr>
          <w:b/>
          <w:i w:val="0"/>
          <w:lang w:val="gl-ES"/>
        </w:rPr>
        <w:t>Abreviaturas</w:t>
      </w:r>
      <w:r w:rsidR="007E473C" w:rsidRPr="00A519E9">
        <w:rPr>
          <w:b/>
          <w:i w:val="0"/>
          <w:lang w:val="gl-ES"/>
        </w:rPr>
        <w:t xml:space="preserve"> e siglas</w:t>
      </w:r>
    </w:p>
    <w:p w:rsidR="00442A24" w:rsidRPr="00A519E9" w:rsidRDefault="00442A24" w:rsidP="00442A24">
      <w:pPr>
        <w:spacing w:after="0" w:line="240" w:lineRule="auto"/>
        <w:jc w:val="both"/>
        <w:rPr>
          <w:rFonts w:ascii="ITC New Baskerville Std" w:hAnsi="ITC New Baskerville Std"/>
          <w:sz w:val="20"/>
          <w:szCs w:val="20"/>
        </w:rPr>
      </w:pPr>
    </w:p>
    <w:p w:rsidR="00442A24" w:rsidRPr="00A519E9" w:rsidRDefault="00442A24" w:rsidP="00442A24">
      <w:pPr>
        <w:spacing w:after="0" w:line="240" w:lineRule="auto"/>
        <w:jc w:val="both"/>
        <w:rPr>
          <w:rFonts w:ascii="ITC New Baskerville Std" w:hAnsi="ITC New Baskerville Std" w:cstheme="minorHAnsi"/>
          <w:sz w:val="18"/>
          <w:szCs w:val="18"/>
        </w:rPr>
      </w:pPr>
      <w:r w:rsidRPr="00A519E9">
        <w:rPr>
          <w:rFonts w:ascii="ITC New Baskerville Std" w:hAnsi="ITC New Baskerville Std" w:cstheme="minorHAnsi"/>
          <w:sz w:val="18"/>
          <w:szCs w:val="18"/>
        </w:rPr>
        <w:t>- ACSUG</w:t>
      </w:r>
      <w:r w:rsidRPr="00A519E9">
        <w:rPr>
          <w:rFonts w:ascii="ITC New Baskerville Std" w:hAnsi="ITC New Baskerville Std" w:cstheme="minorHAnsi"/>
          <w:sz w:val="18"/>
          <w:szCs w:val="18"/>
        </w:rPr>
        <w:tab/>
        <w:t>: Axencia para a Calidade do Sistema Universitario de Galicia</w:t>
      </w:r>
    </w:p>
    <w:p w:rsidR="00442A24" w:rsidRPr="00A519E9" w:rsidRDefault="00442A24" w:rsidP="00442A24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442A24" w:rsidRPr="00A519E9" w:rsidRDefault="00442A24" w:rsidP="00442A24">
      <w:pPr>
        <w:spacing w:after="0" w:line="240" w:lineRule="auto"/>
        <w:jc w:val="both"/>
        <w:rPr>
          <w:rFonts w:ascii="ITC New Baskerville Std" w:hAnsi="ITC New Baskerville Std" w:cstheme="minorHAnsi"/>
          <w:sz w:val="18"/>
          <w:szCs w:val="18"/>
        </w:rPr>
      </w:pPr>
      <w:r w:rsidRPr="00A519E9">
        <w:rPr>
          <w:rFonts w:ascii="ITC New Baskerville Std" w:hAnsi="ITC New Baskerville Std" w:cstheme="minorHAnsi"/>
          <w:sz w:val="18"/>
          <w:szCs w:val="18"/>
        </w:rPr>
        <w:t>- ANECA</w:t>
      </w:r>
      <w:r w:rsidRPr="00A519E9">
        <w:rPr>
          <w:rFonts w:ascii="ITC New Baskerville Std" w:hAnsi="ITC New Baskerville Std" w:cstheme="minorHAnsi"/>
          <w:sz w:val="18"/>
          <w:szCs w:val="18"/>
        </w:rPr>
        <w:tab/>
        <w:t>: Axencia Nacional de Avaliación da Calidade e Acreditación</w:t>
      </w:r>
    </w:p>
    <w:p w:rsidR="00442A24" w:rsidRPr="00A519E9" w:rsidRDefault="00442A24" w:rsidP="00442A24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442A24" w:rsidRPr="00A519E9" w:rsidRDefault="00442A24" w:rsidP="00442A24">
      <w:pPr>
        <w:spacing w:after="0" w:line="240" w:lineRule="auto"/>
        <w:jc w:val="both"/>
        <w:rPr>
          <w:rFonts w:ascii="ITC New Baskerville Std" w:hAnsi="ITC New Baskerville Std" w:cstheme="minorHAnsi"/>
          <w:sz w:val="18"/>
          <w:szCs w:val="18"/>
        </w:rPr>
      </w:pPr>
      <w:r w:rsidRPr="00A519E9">
        <w:rPr>
          <w:rFonts w:ascii="ITC New Baskerville Std" w:hAnsi="ITC New Baskerville Std" w:cstheme="minorHAnsi"/>
          <w:sz w:val="18"/>
          <w:szCs w:val="18"/>
        </w:rPr>
        <w:t>- AQU</w:t>
      </w:r>
      <w:r w:rsidRPr="00A519E9">
        <w:rPr>
          <w:rFonts w:ascii="ITC New Baskerville Std" w:hAnsi="ITC New Baskerville Std" w:cstheme="minorHAnsi"/>
          <w:sz w:val="18"/>
          <w:szCs w:val="18"/>
        </w:rPr>
        <w:tab/>
        <w:t>: Agència per a la Qualitat del Sistema Universitari de Catalunya</w:t>
      </w:r>
    </w:p>
    <w:p w:rsidR="00442A24" w:rsidRPr="00A519E9" w:rsidRDefault="00442A24" w:rsidP="00442A24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B3385F" w:rsidRPr="00A519E9" w:rsidRDefault="00B3385F" w:rsidP="00B3385F">
      <w:pPr>
        <w:spacing w:after="0" w:line="240" w:lineRule="auto"/>
        <w:jc w:val="both"/>
        <w:rPr>
          <w:rFonts w:ascii="ITC New Baskerville Std" w:hAnsi="ITC New Baskerville Std" w:cstheme="minorHAnsi"/>
          <w:sz w:val="18"/>
          <w:szCs w:val="18"/>
        </w:rPr>
      </w:pPr>
      <w:r w:rsidRPr="00A519E9">
        <w:rPr>
          <w:rFonts w:ascii="ITC New Baskerville Std" w:hAnsi="ITC New Baskerville Std" w:cstheme="minorHAnsi"/>
          <w:sz w:val="18"/>
          <w:szCs w:val="18"/>
        </w:rPr>
        <w:t>- CGIC</w:t>
      </w:r>
      <w:r w:rsidRPr="00A519E9">
        <w:rPr>
          <w:rFonts w:ascii="ITC New Baskerville Std" w:hAnsi="ITC New Baskerville Std" w:cstheme="minorHAnsi"/>
          <w:sz w:val="18"/>
          <w:szCs w:val="18"/>
        </w:rPr>
        <w:tab/>
        <w:t>: Comisión de Garantía Interna de Calidade</w:t>
      </w:r>
    </w:p>
    <w:p w:rsidR="00B3385F" w:rsidRPr="00A519E9" w:rsidRDefault="00B3385F" w:rsidP="00B3385F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442A24" w:rsidRPr="00A519E9" w:rsidRDefault="00442A24" w:rsidP="00442A24">
      <w:pPr>
        <w:spacing w:after="0" w:line="240" w:lineRule="auto"/>
        <w:ind w:left="720" w:hanging="720"/>
        <w:jc w:val="both"/>
        <w:rPr>
          <w:rFonts w:ascii="ITC New Baskerville Std" w:hAnsi="ITC New Baskerville Std" w:cstheme="minorHAnsi"/>
          <w:sz w:val="18"/>
          <w:szCs w:val="18"/>
        </w:rPr>
      </w:pPr>
      <w:r w:rsidRPr="00A519E9">
        <w:rPr>
          <w:rFonts w:ascii="ITC New Baskerville Std" w:hAnsi="ITC New Baskerville Std" w:cstheme="minorHAnsi"/>
          <w:sz w:val="18"/>
          <w:szCs w:val="18"/>
        </w:rPr>
        <w:t>- ENQA</w:t>
      </w:r>
      <w:r w:rsidRPr="00A519E9">
        <w:rPr>
          <w:rFonts w:ascii="ITC New Baskerville Std" w:hAnsi="ITC New Baskerville Std" w:cstheme="minorHAnsi"/>
          <w:sz w:val="18"/>
          <w:szCs w:val="18"/>
        </w:rPr>
        <w:tab/>
        <w:t>: European Association for Quality Assurance in Higher Education (Rede Europea para a Garantía da Calidade na Educación Superior)</w:t>
      </w:r>
    </w:p>
    <w:p w:rsidR="00AB4D4E" w:rsidRPr="00A519E9" w:rsidRDefault="00AB4D4E" w:rsidP="00AB4D4E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AB4D4E" w:rsidRPr="00A519E9" w:rsidRDefault="00AB4D4E" w:rsidP="00AB4D4E">
      <w:pPr>
        <w:spacing w:after="0" w:line="240" w:lineRule="auto"/>
        <w:jc w:val="both"/>
        <w:rPr>
          <w:rFonts w:ascii="ITC New Baskerville Std" w:hAnsi="ITC New Baskerville Std"/>
          <w:sz w:val="18"/>
          <w:szCs w:val="18"/>
        </w:rPr>
      </w:pPr>
      <w:r w:rsidRPr="00A519E9">
        <w:rPr>
          <w:rFonts w:ascii="ITC New Baskerville Std" w:hAnsi="ITC New Baskerville Std"/>
          <w:sz w:val="18"/>
          <w:szCs w:val="18"/>
        </w:rPr>
        <w:lastRenderedPageBreak/>
        <w:t>-</w:t>
      </w:r>
      <w:r w:rsidRPr="00A519E9">
        <w:rPr>
          <w:rFonts w:ascii="ITC New Baskerville Std" w:hAnsi="ITC New Baskerville Std"/>
          <w:b/>
          <w:sz w:val="18"/>
          <w:szCs w:val="18"/>
        </w:rPr>
        <w:t xml:space="preserve"> </w:t>
      </w:r>
      <w:r w:rsidRPr="00A519E9">
        <w:rPr>
          <w:rFonts w:ascii="ITC New Baskerville Std" w:hAnsi="ITC New Baskerville Std"/>
          <w:sz w:val="18"/>
          <w:szCs w:val="18"/>
        </w:rPr>
        <w:t xml:space="preserve">OAPT </w:t>
      </w:r>
      <w:r w:rsidRPr="00A519E9">
        <w:rPr>
          <w:rFonts w:ascii="ITC New Baskerville Std" w:hAnsi="ITC New Baskerville Std"/>
          <w:sz w:val="18"/>
          <w:szCs w:val="18"/>
        </w:rPr>
        <w:tab/>
        <w:t>: Organización académica, profesorado e titulacións</w:t>
      </w:r>
    </w:p>
    <w:p w:rsidR="00AB4D4E" w:rsidRPr="00A519E9" w:rsidRDefault="00AB4D4E" w:rsidP="00AB4D4E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AB4D4E" w:rsidRPr="00A519E9" w:rsidRDefault="00AB4D4E" w:rsidP="00AB4D4E">
      <w:pPr>
        <w:spacing w:after="0" w:line="240" w:lineRule="auto"/>
        <w:jc w:val="both"/>
        <w:rPr>
          <w:rFonts w:ascii="ITC New Baskerville Std" w:hAnsi="ITC New Baskerville Std"/>
          <w:sz w:val="18"/>
          <w:szCs w:val="18"/>
        </w:rPr>
      </w:pPr>
      <w:r w:rsidRPr="00A519E9">
        <w:rPr>
          <w:rFonts w:ascii="ITC New Baskerville Std" w:hAnsi="ITC New Baskerville Std"/>
          <w:sz w:val="18"/>
          <w:szCs w:val="18"/>
        </w:rPr>
        <w:t>-</w:t>
      </w:r>
      <w:r w:rsidRPr="00A519E9">
        <w:rPr>
          <w:rFonts w:ascii="ITC New Baskerville Std" w:hAnsi="ITC New Baskerville Std"/>
          <w:b/>
          <w:sz w:val="18"/>
          <w:szCs w:val="18"/>
        </w:rPr>
        <w:t xml:space="preserve"> </w:t>
      </w:r>
      <w:r w:rsidRPr="00A519E9">
        <w:rPr>
          <w:rFonts w:ascii="ITC New Baskerville Std" w:hAnsi="ITC New Baskerville Std"/>
          <w:sz w:val="18"/>
          <w:szCs w:val="18"/>
        </w:rPr>
        <w:t xml:space="preserve">ORI </w:t>
      </w:r>
      <w:r w:rsidRPr="00A519E9">
        <w:rPr>
          <w:rFonts w:ascii="ITC New Baskerville Std" w:hAnsi="ITC New Baskerville Std"/>
          <w:sz w:val="18"/>
          <w:szCs w:val="18"/>
        </w:rPr>
        <w:tab/>
        <w:t>: Oficina de Relaci</w:t>
      </w:r>
      <w:r w:rsidR="00A108A3">
        <w:rPr>
          <w:rFonts w:ascii="ITC New Baskerville Std" w:hAnsi="ITC New Baskerville Std"/>
          <w:sz w:val="18"/>
          <w:szCs w:val="18"/>
        </w:rPr>
        <w:t>óns</w:t>
      </w:r>
      <w:r w:rsidRPr="00A519E9">
        <w:rPr>
          <w:rFonts w:ascii="ITC New Baskerville Std" w:hAnsi="ITC New Baskerville Std"/>
          <w:sz w:val="18"/>
          <w:szCs w:val="18"/>
        </w:rPr>
        <w:t xml:space="preserve"> Internaciona</w:t>
      </w:r>
      <w:r w:rsidR="00A108A3">
        <w:rPr>
          <w:rFonts w:ascii="ITC New Baskerville Std" w:hAnsi="ITC New Baskerville Std"/>
          <w:sz w:val="18"/>
          <w:szCs w:val="18"/>
        </w:rPr>
        <w:t>i</w:t>
      </w:r>
      <w:r w:rsidRPr="00A519E9">
        <w:rPr>
          <w:rFonts w:ascii="ITC New Baskerville Std" w:hAnsi="ITC New Baskerville Std"/>
          <w:sz w:val="18"/>
          <w:szCs w:val="18"/>
        </w:rPr>
        <w:t>s</w:t>
      </w:r>
    </w:p>
    <w:p w:rsidR="00AB4D4E" w:rsidRPr="00A519E9" w:rsidRDefault="00AB4D4E" w:rsidP="00AB4D4E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AB4D4E" w:rsidRPr="00A519E9" w:rsidRDefault="00AB4D4E" w:rsidP="00AB4D4E">
      <w:pPr>
        <w:spacing w:after="0" w:line="240" w:lineRule="auto"/>
        <w:jc w:val="both"/>
        <w:rPr>
          <w:rFonts w:ascii="ITC New Baskerville Std" w:hAnsi="ITC New Baskerville Std"/>
          <w:sz w:val="18"/>
          <w:szCs w:val="18"/>
        </w:rPr>
      </w:pPr>
      <w:r w:rsidRPr="00A519E9">
        <w:rPr>
          <w:rFonts w:ascii="ITC New Baskerville Std" w:hAnsi="ITC New Baskerville Std"/>
          <w:sz w:val="18"/>
          <w:szCs w:val="18"/>
        </w:rPr>
        <w:t>-</w:t>
      </w:r>
      <w:r w:rsidRPr="00A519E9">
        <w:rPr>
          <w:rFonts w:ascii="ITC New Baskerville Std" w:hAnsi="ITC New Baskerville Std"/>
          <w:b/>
          <w:sz w:val="18"/>
          <w:szCs w:val="18"/>
        </w:rPr>
        <w:t xml:space="preserve"> </w:t>
      </w:r>
      <w:r w:rsidRPr="00A519E9">
        <w:rPr>
          <w:rFonts w:ascii="ITC New Baskerville Std" w:hAnsi="ITC New Baskerville Std"/>
          <w:sz w:val="18"/>
          <w:szCs w:val="18"/>
        </w:rPr>
        <w:t xml:space="preserve">PAC </w:t>
      </w:r>
      <w:r w:rsidRPr="00A519E9">
        <w:rPr>
          <w:rFonts w:ascii="ITC New Baskerville Std" w:hAnsi="ITC New Baskerville Std"/>
          <w:sz w:val="18"/>
          <w:szCs w:val="18"/>
        </w:rPr>
        <w:tab/>
        <w:t>: procedemento administrativo común</w:t>
      </w:r>
    </w:p>
    <w:p w:rsidR="00AB4D4E" w:rsidRPr="00A519E9" w:rsidRDefault="00AB4D4E" w:rsidP="00AB4D4E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AB4D4E" w:rsidRPr="00A519E9" w:rsidRDefault="00AB4D4E" w:rsidP="00AB4D4E">
      <w:pPr>
        <w:spacing w:after="0" w:line="240" w:lineRule="auto"/>
        <w:jc w:val="both"/>
        <w:rPr>
          <w:rFonts w:ascii="ITC New Baskerville Std" w:hAnsi="ITC New Baskerville Std"/>
          <w:sz w:val="18"/>
          <w:szCs w:val="18"/>
        </w:rPr>
      </w:pPr>
      <w:r w:rsidRPr="00A519E9">
        <w:rPr>
          <w:rFonts w:ascii="ITC New Baskerville Std" w:hAnsi="ITC New Baskerville Std"/>
          <w:sz w:val="18"/>
          <w:szCs w:val="18"/>
        </w:rPr>
        <w:t>-</w:t>
      </w:r>
      <w:r w:rsidRPr="00A519E9">
        <w:rPr>
          <w:rFonts w:ascii="ITC New Baskerville Std" w:hAnsi="ITC New Baskerville Std"/>
          <w:b/>
          <w:sz w:val="18"/>
          <w:szCs w:val="18"/>
        </w:rPr>
        <w:t xml:space="preserve"> </w:t>
      </w:r>
      <w:r w:rsidRPr="00A519E9">
        <w:rPr>
          <w:rFonts w:ascii="ITC New Baskerville Std" w:hAnsi="ITC New Baskerville Std"/>
          <w:sz w:val="18"/>
          <w:szCs w:val="18"/>
        </w:rPr>
        <w:t xml:space="preserve">PAS </w:t>
      </w:r>
      <w:r w:rsidRPr="00A519E9">
        <w:rPr>
          <w:rFonts w:ascii="ITC New Baskerville Std" w:hAnsi="ITC New Baskerville Std"/>
          <w:sz w:val="18"/>
          <w:szCs w:val="18"/>
        </w:rPr>
        <w:tab/>
        <w:t>: persoal de administración e servizos</w:t>
      </w:r>
    </w:p>
    <w:p w:rsidR="00AB4D4E" w:rsidRPr="00A519E9" w:rsidRDefault="00AB4D4E" w:rsidP="00AB4D4E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AB4D4E" w:rsidRPr="00A519E9" w:rsidRDefault="00AB4D4E" w:rsidP="00AB4D4E">
      <w:pPr>
        <w:spacing w:after="0" w:line="240" w:lineRule="auto"/>
        <w:jc w:val="both"/>
        <w:rPr>
          <w:rFonts w:ascii="ITC New Baskerville Std" w:hAnsi="ITC New Baskerville Std"/>
          <w:sz w:val="18"/>
          <w:szCs w:val="18"/>
        </w:rPr>
      </w:pPr>
      <w:r w:rsidRPr="00A519E9">
        <w:rPr>
          <w:rFonts w:ascii="ITC New Baskerville Std" w:hAnsi="ITC New Baskerville Std"/>
          <w:sz w:val="18"/>
          <w:szCs w:val="18"/>
        </w:rPr>
        <w:t>-</w:t>
      </w:r>
      <w:r w:rsidRPr="00A519E9">
        <w:rPr>
          <w:rFonts w:ascii="ITC New Baskerville Std" w:hAnsi="ITC New Baskerville Std"/>
          <w:b/>
          <w:sz w:val="18"/>
          <w:szCs w:val="18"/>
        </w:rPr>
        <w:t xml:space="preserve"> </w:t>
      </w:r>
      <w:r w:rsidRPr="00A519E9">
        <w:rPr>
          <w:rFonts w:ascii="ITC New Baskerville Std" w:hAnsi="ITC New Baskerville Std"/>
          <w:sz w:val="18"/>
          <w:szCs w:val="18"/>
        </w:rPr>
        <w:t xml:space="preserve">PDI </w:t>
      </w:r>
      <w:r w:rsidRPr="00A519E9">
        <w:rPr>
          <w:rFonts w:ascii="ITC New Baskerville Std" w:hAnsi="ITC New Baskerville Std"/>
          <w:sz w:val="18"/>
          <w:szCs w:val="18"/>
        </w:rPr>
        <w:tab/>
        <w:t>: persoal docente e investigador</w:t>
      </w:r>
    </w:p>
    <w:p w:rsidR="00AB4D4E" w:rsidRPr="00A519E9" w:rsidRDefault="00AB4D4E" w:rsidP="00AB4D4E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AB4D4E" w:rsidRPr="00A519E9" w:rsidRDefault="00AB4D4E" w:rsidP="00AB4D4E">
      <w:pPr>
        <w:spacing w:after="0" w:line="240" w:lineRule="auto"/>
        <w:jc w:val="both"/>
        <w:rPr>
          <w:rFonts w:ascii="ITC New Baskerville Std" w:hAnsi="ITC New Baskerville Std"/>
          <w:sz w:val="18"/>
          <w:szCs w:val="18"/>
        </w:rPr>
      </w:pPr>
      <w:r w:rsidRPr="00A519E9">
        <w:rPr>
          <w:rFonts w:ascii="ITC New Baskerville Std" w:hAnsi="ITC New Baskerville Std"/>
          <w:sz w:val="18"/>
          <w:szCs w:val="18"/>
        </w:rPr>
        <w:t>-</w:t>
      </w:r>
      <w:r w:rsidRPr="00A519E9">
        <w:rPr>
          <w:rFonts w:ascii="ITC New Baskerville Std" w:hAnsi="ITC New Baskerville Std"/>
          <w:b/>
          <w:sz w:val="18"/>
          <w:szCs w:val="18"/>
        </w:rPr>
        <w:t xml:space="preserve"> </w:t>
      </w:r>
      <w:r w:rsidRPr="00A519E9">
        <w:rPr>
          <w:rFonts w:ascii="ITC New Baskerville Std" w:hAnsi="ITC New Baskerville Std"/>
          <w:sz w:val="18"/>
          <w:szCs w:val="18"/>
        </w:rPr>
        <w:t xml:space="preserve">POX </w:t>
      </w:r>
      <w:r w:rsidRPr="00A519E9">
        <w:rPr>
          <w:rFonts w:ascii="ITC New Baskerville Std" w:hAnsi="ITC New Baskerville Std"/>
          <w:sz w:val="18"/>
          <w:szCs w:val="18"/>
        </w:rPr>
        <w:tab/>
        <w:t>: Plan Operativo de Xestión</w:t>
      </w:r>
    </w:p>
    <w:p w:rsidR="00AB4D4E" w:rsidRPr="00A519E9" w:rsidRDefault="00AB4D4E" w:rsidP="00AB4D4E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AB4D4E" w:rsidRPr="00A519E9" w:rsidRDefault="00AB4D4E" w:rsidP="00AB4D4E">
      <w:pPr>
        <w:pStyle w:val="Prrafodelista"/>
        <w:tabs>
          <w:tab w:val="left" w:pos="142"/>
        </w:tabs>
        <w:spacing w:after="0" w:line="240" w:lineRule="auto"/>
        <w:ind w:left="0"/>
        <w:jc w:val="both"/>
        <w:rPr>
          <w:rFonts w:ascii="ITC New Baskerville Std" w:hAnsi="ITC New Baskerville Std"/>
          <w:sz w:val="18"/>
          <w:szCs w:val="18"/>
        </w:rPr>
      </w:pPr>
      <w:r w:rsidRPr="00A519E9">
        <w:rPr>
          <w:rFonts w:ascii="ITC New Baskerville Std" w:hAnsi="ITC New Baskerville Std"/>
          <w:sz w:val="18"/>
          <w:szCs w:val="18"/>
        </w:rPr>
        <w:t>-</w:t>
      </w:r>
      <w:r w:rsidRPr="00A519E9">
        <w:rPr>
          <w:rFonts w:ascii="ITC New Baskerville Std" w:hAnsi="ITC New Baskerville Std"/>
          <w:b/>
          <w:sz w:val="18"/>
          <w:szCs w:val="18"/>
        </w:rPr>
        <w:t xml:space="preserve"> </w:t>
      </w:r>
      <w:r w:rsidRPr="00A519E9">
        <w:rPr>
          <w:rFonts w:ascii="ITC New Baskerville Std" w:hAnsi="ITC New Baskerville Std"/>
          <w:sz w:val="18"/>
          <w:szCs w:val="18"/>
        </w:rPr>
        <w:t>RD</w:t>
      </w:r>
      <w:r w:rsidRPr="00A519E9">
        <w:rPr>
          <w:rFonts w:ascii="ITC New Baskerville Std" w:hAnsi="ITC New Baskerville Std"/>
          <w:sz w:val="18"/>
          <w:szCs w:val="18"/>
        </w:rPr>
        <w:tab/>
        <w:t>: Real decreto</w:t>
      </w:r>
    </w:p>
    <w:p w:rsidR="00AB4D4E" w:rsidRPr="00A519E9" w:rsidRDefault="00AB4D4E" w:rsidP="00AB4D4E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AB4D4E" w:rsidRPr="00A519E9" w:rsidRDefault="00AB4D4E" w:rsidP="00AB4D4E">
      <w:pPr>
        <w:pStyle w:val="Prrafodelista"/>
        <w:tabs>
          <w:tab w:val="left" w:pos="142"/>
        </w:tabs>
        <w:spacing w:after="0" w:line="240" w:lineRule="auto"/>
        <w:ind w:left="0"/>
        <w:jc w:val="both"/>
        <w:rPr>
          <w:rFonts w:ascii="ITC New Baskerville Std" w:hAnsi="ITC New Baskerville Std"/>
          <w:sz w:val="18"/>
          <w:szCs w:val="18"/>
        </w:rPr>
      </w:pPr>
      <w:r w:rsidRPr="00A519E9">
        <w:rPr>
          <w:rFonts w:ascii="ITC New Baskerville Std" w:hAnsi="ITC New Baskerville Std"/>
          <w:sz w:val="18"/>
          <w:szCs w:val="18"/>
        </w:rPr>
        <w:t>-</w:t>
      </w:r>
      <w:r w:rsidRPr="00A519E9">
        <w:rPr>
          <w:rFonts w:ascii="ITC New Baskerville Std" w:hAnsi="ITC New Baskerville Std"/>
          <w:b/>
          <w:sz w:val="18"/>
          <w:szCs w:val="18"/>
        </w:rPr>
        <w:t xml:space="preserve"> </w:t>
      </w:r>
      <w:r w:rsidRPr="00A519E9">
        <w:rPr>
          <w:rFonts w:ascii="ITC New Baskerville Std" w:hAnsi="ITC New Baskerville Std"/>
          <w:sz w:val="18"/>
          <w:szCs w:val="18"/>
        </w:rPr>
        <w:t>RI</w:t>
      </w:r>
      <w:r w:rsidRPr="00A519E9">
        <w:rPr>
          <w:rFonts w:ascii="ITC New Baskerville Std" w:hAnsi="ITC New Baskerville Std"/>
          <w:sz w:val="18"/>
          <w:szCs w:val="18"/>
        </w:rPr>
        <w:tab/>
        <w:t>: relacións internacionais</w:t>
      </w:r>
    </w:p>
    <w:p w:rsidR="00AB4D4E" w:rsidRPr="00A519E9" w:rsidRDefault="00AB4D4E" w:rsidP="00AB4D4E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AB4D4E" w:rsidRPr="00A519E9" w:rsidRDefault="00AB4D4E" w:rsidP="00AB4D4E">
      <w:pPr>
        <w:pStyle w:val="Prrafodelista"/>
        <w:tabs>
          <w:tab w:val="left" w:pos="142"/>
        </w:tabs>
        <w:spacing w:after="0" w:line="240" w:lineRule="auto"/>
        <w:ind w:left="0"/>
        <w:jc w:val="both"/>
        <w:rPr>
          <w:rFonts w:ascii="ITC New Baskerville Std" w:hAnsi="ITC New Baskerville Std"/>
          <w:sz w:val="18"/>
          <w:szCs w:val="18"/>
        </w:rPr>
      </w:pPr>
      <w:r w:rsidRPr="00A519E9">
        <w:rPr>
          <w:rFonts w:ascii="ITC New Baskerville Std" w:hAnsi="ITC New Baskerville Std"/>
          <w:sz w:val="18"/>
          <w:szCs w:val="18"/>
        </w:rPr>
        <w:t>-</w:t>
      </w:r>
      <w:r w:rsidRPr="00A519E9">
        <w:rPr>
          <w:rFonts w:ascii="ITC New Baskerville Std" w:hAnsi="ITC New Baskerville Std"/>
          <w:b/>
          <w:sz w:val="18"/>
          <w:szCs w:val="18"/>
        </w:rPr>
        <w:t xml:space="preserve"> </w:t>
      </w:r>
      <w:r w:rsidRPr="00A519E9">
        <w:rPr>
          <w:rFonts w:ascii="ITC New Baskerville Std" w:hAnsi="ITC New Baskerville Std"/>
          <w:sz w:val="18"/>
          <w:szCs w:val="18"/>
        </w:rPr>
        <w:t>RR</w:t>
      </w:r>
      <w:r w:rsidRPr="00A519E9">
        <w:rPr>
          <w:rFonts w:ascii="ITC New Baskerville Std" w:hAnsi="ITC New Baskerville Std"/>
          <w:sz w:val="18"/>
          <w:szCs w:val="18"/>
        </w:rPr>
        <w:tab/>
        <w:t>: Resolución reitoral</w:t>
      </w:r>
    </w:p>
    <w:p w:rsidR="00AB4D4E" w:rsidRPr="00A519E9" w:rsidRDefault="00AB4D4E" w:rsidP="00AB4D4E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AB4D4E" w:rsidRPr="00A519E9" w:rsidRDefault="00AB4D4E" w:rsidP="00AB4D4E">
      <w:pPr>
        <w:tabs>
          <w:tab w:val="left" w:pos="142"/>
        </w:tabs>
        <w:spacing w:after="0" w:line="240" w:lineRule="auto"/>
        <w:contextualSpacing/>
        <w:jc w:val="both"/>
        <w:rPr>
          <w:rFonts w:ascii="ITC New Baskerville Std" w:hAnsi="ITC New Baskerville Std"/>
          <w:sz w:val="18"/>
          <w:szCs w:val="18"/>
        </w:rPr>
      </w:pPr>
      <w:r w:rsidRPr="00A519E9">
        <w:rPr>
          <w:rFonts w:ascii="ITC New Baskerville Std" w:hAnsi="ITC New Baskerville Std"/>
          <w:sz w:val="18"/>
          <w:szCs w:val="18"/>
        </w:rPr>
        <w:t>- SGIC</w:t>
      </w:r>
      <w:r w:rsidRPr="00A519E9">
        <w:rPr>
          <w:rFonts w:ascii="ITC New Baskerville Std" w:hAnsi="ITC New Baskerville Std"/>
          <w:sz w:val="18"/>
          <w:szCs w:val="18"/>
        </w:rPr>
        <w:tab/>
        <w:t>: Sistema de garantía interna de calidade</w:t>
      </w:r>
    </w:p>
    <w:p w:rsidR="00AB4D4E" w:rsidRPr="00A519E9" w:rsidRDefault="00AB4D4E" w:rsidP="00AB4D4E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AB4D4E" w:rsidRPr="00A519E9" w:rsidRDefault="00A108A3" w:rsidP="00AB4D4E">
      <w:pPr>
        <w:tabs>
          <w:tab w:val="left" w:pos="142"/>
        </w:tabs>
        <w:spacing w:after="0" w:line="240" w:lineRule="auto"/>
        <w:contextualSpacing/>
        <w:jc w:val="both"/>
        <w:rPr>
          <w:rFonts w:ascii="ITC New Baskerville Std" w:hAnsi="ITC New Baskerville Std"/>
          <w:sz w:val="18"/>
          <w:szCs w:val="18"/>
        </w:rPr>
      </w:pPr>
      <w:r>
        <w:rPr>
          <w:rFonts w:ascii="ITC New Baskerville Std" w:hAnsi="ITC New Baskerville Std"/>
          <w:sz w:val="18"/>
          <w:szCs w:val="18"/>
        </w:rPr>
        <w:t>- SICUE</w:t>
      </w:r>
      <w:r>
        <w:rPr>
          <w:rFonts w:ascii="ITC New Baskerville Std" w:hAnsi="ITC New Baskerville Std"/>
          <w:sz w:val="18"/>
          <w:szCs w:val="18"/>
        </w:rPr>
        <w:tab/>
        <w:t>: Sistema de intercambio entre centros universitarios e</w:t>
      </w:r>
      <w:r w:rsidR="00AB4D4E" w:rsidRPr="00A519E9">
        <w:rPr>
          <w:rFonts w:ascii="ITC New Baskerville Std" w:hAnsi="ITC New Baskerville Std"/>
          <w:sz w:val="18"/>
          <w:szCs w:val="18"/>
        </w:rPr>
        <w:t>spañois</w:t>
      </w:r>
    </w:p>
    <w:p w:rsidR="00B3385F" w:rsidRPr="00A519E9" w:rsidRDefault="00B3385F" w:rsidP="00EC0C54">
      <w:pPr>
        <w:pStyle w:val="Prrafodelista"/>
        <w:tabs>
          <w:tab w:val="left" w:pos="142"/>
        </w:tabs>
        <w:spacing w:after="0" w:line="240" w:lineRule="auto"/>
        <w:ind w:left="0"/>
        <w:jc w:val="both"/>
        <w:rPr>
          <w:rFonts w:ascii="ITC New Baskerville Std" w:hAnsi="ITC New Baskerville Std"/>
          <w:sz w:val="18"/>
          <w:szCs w:val="18"/>
        </w:rPr>
      </w:pPr>
    </w:p>
    <w:p w:rsidR="007E473C" w:rsidRPr="00A519E9" w:rsidRDefault="007E473C" w:rsidP="00EC0C54">
      <w:pPr>
        <w:pStyle w:val="Prrafodelista"/>
        <w:tabs>
          <w:tab w:val="left" w:pos="142"/>
        </w:tabs>
        <w:spacing w:after="0" w:line="240" w:lineRule="auto"/>
        <w:ind w:left="0"/>
        <w:jc w:val="both"/>
        <w:rPr>
          <w:rFonts w:ascii="ITC New Baskerville Std" w:hAnsi="ITC New Baskerville Std"/>
          <w:sz w:val="18"/>
          <w:szCs w:val="18"/>
        </w:rPr>
      </w:pPr>
    </w:p>
    <w:p w:rsidR="00965058" w:rsidRPr="00A519E9" w:rsidRDefault="00965058" w:rsidP="00157A63">
      <w:pPr>
        <w:pStyle w:val="Prrafodelista"/>
        <w:spacing w:after="0" w:line="240" w:lineRule="auto"/>
        <w:jc w:val="both"/>
        <w:rPr>
          <w:rFonts w:ascii="ITC New Baskerville Std" w:hAnsi="ITC New Baskerville Std"/>
          <w:sz w:val="20"/>
          <w:szCs w:val="20"/>
        </w:rPr>
      </w:pPr>
    </w:p>
    <w:p w:rsidR="00442A24" w:rsidRPr="00A519E9" w:rsidRDefault="00442A24" w:rsidP="00442A24">
      <w:pPr>
        <w:pStyle w:val="EstiloDocumentoSC"/>
        <w:pBdr>
          <w:top w:val="single" w:sz="18" w:space="1" w:color="auto"/>
        </w:pBdr>
        <w:shd w:val="clear" w:color="auto" w:fill="FFFFFF" w:themeFill="background1"/>
        <w:rPr>
          <w:rFonts w:ascii="ITC New Baskerville Std" w:hAnsi="ITC New Baskerville Std"/>
          <w:b w:val="0"/>
          <w:lang w:val="gl-ES"/>
        </w:rPr>
      </w:pPr>
      <w:bookmarkStart w:id="3" w:name="_Toc348607832"/>
      <w:r w:rsidRPr="00A519E9">
        <w:rPr>
          <w:rFonts w:ascii="ITC New Baskerville Std" w:hAnsi="ITC New Baskerville Std"/>
          <w:b w:val="0"/>
          <w:lang w:val="gl-ES"/>
        </w:rPr>
        <w:t>IV DESENVOLVEMENTO</w:t>
      </w:r>
      <w:bookmarkEnd w:id="3"/>
    </w:p>
    <w:p w:rsidR="00442A24" w:rsidRPr="00A519E9" w:rsidRDefault="00442A24" w:rsidP="00442A24">
      <w:pPr>
        <w:spacing w:after="120"/>
        <w:ind w:left="-284"/>
        <w:rPr>
          <w:rFonts w:ascii="ITC New Baskerville Std" w:hAnsi="ITC New Baskerville Std"/>
          <w:b/>
        </w:rPr>
      </w:pPr>
    </w:p>
    <w:p w:rsidR="00442A24" w:rsidRPr="00A519E9" w:rsidRDefault="00442A24" w:rsidP="00612C0D">
      <w:pPr>
        <w:pStyle w:val="Prrafodelista"/>
        <w:numPr>
          <w:ilvl w:val="0"/>
          <w:numId w:val="2"/>
        </w:numPr>
        <w:tabs>
          <w:tab w:val="left" w:pos="567"/>
        </w:tabs>
        <w:spacing w:after="0" w:line="240" w:lineRule="auto"/>
        <w:ind w:left="284" w:hanging="284"/>
        <w:rPr>
          <w:rFonts w:ascii="ITC New Baskerville Std" w:hAnsi="ITC New Baskerville Std"/>
          <w:b/>
          <w:sz w:val="24"/>
        </w:rPr>
      </w:pPr>
      <w:r w:rsidRPr="00A519E9">
        <w:rPr>
          <w:rFonts w:ascii="ITC New Baskerville Std" w:hAnsi="ITC New Baskerville Std"/>
          <w:b/>
          <w:sz w:val="24"/>
        </w:rPr>
        <w:t>Finalidade do proceso</w:t>
      </w:r>
    </w:p>
    <w:p w:rsidR="00442A24" w:rsidRPr="00A519E9" w:rsidRDefault="00442A24" w:rsidP="00442A24">
      <w:pPr>
        <w:spacing w:after="0"/>
        <w:rPr>
          <w:rFonts w:ascii="ITC New Baskerville Std" w:hAnsi="ITC New Baskerville Std"/>
          <w:sz w:val="20"/>
          <w:szCs w:val="20"/>
        </w:rPr>
      </w:pPr>
    </w:p>
    <w:p w:rsidR="00E72021" w:rsidRPr="00A519E9" w:rsidRDefault="00E72021" w:rsidP="002D3C67">
      <w:pPr>
        <w:spacing w:after="0"/>
        <w:jc w:val="both"/>
        <w:rPr>
          <w:rFonts w:ascii="ITC New Baskerville Std" w:hAnsi="ITC New Baskerville Std"/>
          <w:sz w:val="20"/>
          <w:szCs w:val="20"/>
        </w:rPr>
      </w:pPr>
      <w:r w:rsidRPr="00A519E9">
        <w:rPr>
          <w:rFonts w:ascii="ITC New Baskerville Std" w:hAnsi="ITC New Baskerville Std"/>
          <w:sz w:val="20"/>
          <w:szCs w:val="20"/>
        </w:rPr>
        <w:t>Mellorar o desenvolvemento das actividades orixinadas polos estudos do estudant</w:t>
      </w:r>
      <w:r w:rsidR="003424DC">
        <w:rPr>
          <w:rFonts w:ascii="ITC New Baskerville Std" w:hAnsi="ITC New Baskerville Std"/>
          <w:sz w:val="20"/>
          <w:szCs w:val="20"/>
        </w:rPr>
        <w:t>ado</w:t>
      </w:r>
      <w:r w:rsidRPr="00A519E9">
        <w:rPr>
          <w:rFonts w:ascii="ITC New Baskerville Std" w:hAnsi="ITC New Baskerville Std"/>
          <w:sz w:val="20"/>
          <w:szCs w:val="20"/>
        </w:rPr>
        <w:t xml:space="preserve"> que se realizan </w:t>
      </w:r>
      <w:r w:rsidR="00A108A3">
        <w:rPr>
          <w:rFonts w:ascii="ITC New Baskerville Std" w:hAnsi="ITC New Baskerville Std"/>
          <w:sz w:val="20"/>
          <w:szCs w:val="20"/>
        </w:rPr>
        <w:t>ao</w:t>
      </w:r>
      <w:r w:rsidRPr="00A519E9">
        <w:rPr>
          <w:rFonts w:ascii="ITC New Baskerville Std" w:hAnsi="ITC New Baskerville Std"/>
          <w:sz w:val="20"/>
          <w:szCs w:val="20"/>
        </w:rPr>
        <w:t xml:space="preserve"> </w:t>
      </w:r>
      <w:r w:rsidR="00A108A3">
        <w:rPr>
          <w:rFonts w:ascii="ITC New Baskerville Std" w:hAnsi="ITC New Baskerville Std"/>
          <w:sz w:val="20"/>
          <w:szCs w:val="20"/>
        </w:rPr>
        <w:t>abeiro</w:t>
      </w:r>
      <w:r w:rsidRPr="00A519E9">
        <w:rPr>
          <w:rFonts w:ascii="ITC New Baskerville Std" w:hAnsi="ITC New Baskerville Std"/>
          <w:sz w:val="20"/>
          <w:szCs w:val="20"/>
        </w:rPr>
        <w:t xml:space="preserve"> d</w:t>
      </w:r>
      <w:r w:rsidR="00A108A3">
        <w:rPr>
          <w:rFonts w:ascii="ITC New Baskerville Std" w:hAnsi="ITC New Baskerville Std"/>
          <w:sz w:val="20"/>
          <w:szCs w:val="20"/>
        </w:rPr>
        <w:t>os</w:t>
      </w:r>
      <w:r w:rsidRPr="00A519E9">
        <w:rPr>
          <w:rFonts w:ascii="ITC New Baskerville Std" w:hAnsi="ITC New Baskerville Std"/>
          <w:sz w:val="20"/>
          <w:szCs w:val="20"/>
        </w:rPr>
        <w:t xml:space="preserve"> programas nacionais e/ou internacionais de intercambio, de forma que:</w:t>
      </w:r>
    </w:p>
    <w:p w:rsidR="00E72021" w:rsidRPr="00A519E9" w:rsidRDefault="00E72021" w:rsidP="002D3C67">
      <w:pPr>
        <w:pStyle w:val="Prrafodelista"/>
        <w:numPr>
          <w:ilvl w:val="0"/>
          <w:numId w:val="13"/>
        </w:numPr>
        <w:spacing w:after="0"/>
        <w:ind w:left="426"/>
        <w:jc w:val="both"/>
        <w:rPr>
          <w:rFonts w:ascii="ITC New Baskerville Std" w:hAnsi="ITC New Baskerville Std"/>
          <w:sz w:val="20"/>
          <w:szCs w:val="20"/>
        </w:rPr>
      </w:pPr>
      <w:r w:rsidRPr="00A519E9">
        <w:rPr>
          <w:rFonts w:ascii="ITC New Baskerville Std" w:hAnsi="ITC New Baskerville Std"/>
          <w:sz w:val="20"/>
          <w:szCs w:val="20"/>
        </w:rPr>
        <w:t xml:space="preserve">impulsen a mobilidade e contribúan a unha formación </w:t>
      </w:r>
      <w:r w:rsidR="00A108A3">
        <w:rPr>
          <w:rFonts w:ascii="ITC New Baskerville Std" w:hAnsi="ITC New Baskerville Std"/>
          <w:sz w:val="20"/>
          <w:szCs w:val="20"/>
        </w:rPr>
        <w:t>de calidade no marco do Espazo e</w:t>
      </w:r>
      <w:r w:rsidRPr="00A519E9">
        <w:rPr>
          <w:rFonts w:ascii="ITC New Baskerville Std" w:hAnsi="ITC New Baskerville Std"/>
          <w:sz w:val="20"/>
          <w:szCs w:val="20"/>
        </w:rPr>
        <w:t xml:space="preserve">uropeo de </w:t>
      </w:r>
      <w:r w:rsidR="00A108A3">
        <w:rPr>
          <w:rFonts w:ascii="ITC New Baskerville Std" w:hAnsi="ITC New Baskerville Std"/>
          <w:sz w:val="20"/>
          <w:szCs w:val="20"/>
        </w:rPr>
        <w:t>e</w:t>
      </w:r>
      <w:r w:rsidRPr="00A519E9">
        <w:rPr>
          <w:rFonts w:ascii="ITC New Baskerville Std" w:hAnsi="ITC New Baskerville Std"/>
          <w:sz w:val="20"/>
          <w:szCs w:val="20"/>
        </w:rPr>
        <w:t xml:space="preserve">ducación </w:t>
      </w:r>
      <w:r w:rsidR="00A108A3">
        <w:rPr>
          <w:rFonts w:ascii="ITC New Baskerville Std" w:hAnsi="ITC New Baskerville Std"/>
          <w:sz w:val="20"/>
          <w:szCs w:val="20"/>
        </w:rPr>
        <w:t>s</w:t>
      </w:r>
      <w:r w:rsidRPr="00A519E9">
        <w:rPr>
          <w:rFonts w:ascii="ITC New Baskerville Std" w:hAnsi="ITC New Baskerville Std"/>
          <w:sz w:val="20"/>
          <w:szCs w:val="20"/>
        </w:rPr>
        <w:t>uperior,</w:t>
      </w:r>
    </w:p>
    <w:p w:rsidR="00E72021" w:rsidRPr="00A519E9" w:rsidRDefault="00E72021" w:rsidP="002D3C67">
      <w:pPr>
        <w:pStyle w:val="Prrafodelista"/>
        <w:numPr>
          <w:ilvl w:val="0"/>
          <w:numId w:val="13"/>
        </w:numPr>
        <w:spacing w:after="0"/>
        <w:ind w:left="426"/>
        <w:jc w:val="both"/>
        <w:rPr>
          <w:rFonts w:ascii="ITC New Baskerville Std" w:hAnsi="ITC New Baskerville Std"/>
          <w:sz w:val="20"/>
          <w:szCs w:val="20"/>
        </w:rPr>
      </w:pPr>
      <w:r w:rsidRPr="00A519E9">
        <w:rPr>
          <w:rFonts w:ascii="ITC New Baskerville Std" w:hAnsi="ITC New Baskerville Std"/>
          <w:sz w:val="20"/>
          <w:szCs w:val="20"/>
        </w:rPr>
        <w:t>contribúan á formación integral do estudantado complementando a sú</w:t>
      </w:r>
      <w:r w:rsidR="00A108A3">
        <w:rPr>
          <w:rFonts w:ascii="ITC New Baskerville Std" w:hAnsi="ITC New Baskerville Std"/>
          <w:sz w:val="20"/>
          <w:szCs w:val="20"/>
        </w:rPr>
        <w:t>a aprendizaxe teórica e práctica</w:t>
      </w:r>
      <w:r w:rsidRPr="00A519E9">
        <w:rPr>
          <w:rFonts w:ascii="ITC New Baskerville Std" w:hAnsi="ITC New Baskerville Std"/>
          <w:sz w:val="20"/>
          <w:szCs w:val="20"/>
        </w:rPr>
        <w:t>,</w:t>
      </w:r>
    </w:p>
    <w:p w:rsidR="00E72021" w:rsidRPr="00A519E9" w:rsidRDefault="00E72021" w:rsidP="002D3C67">
      <w:pPr>
        <w:pStyle w:val="Prrafodelista"/>
        <w:numPr>
          <w:ilvl w:val="0"/>
          <w:numId w:val="13"/>
        </w:numPr>
        <w:spacing w:after="0"/>
        <w:ind w:left="426"/>
        <w:jc w:val="both"/>
        <w:rPr>
          <w:rFonts w:ascii="ITC New Baskerville Std" w:hAnsi="ITC New Baskerville Std"/>
          <w:sz w:val="20"/>
          <w:szCs w:val="20"/>
        </w:rPr>
      </w:pPr>
      <w:r w:rsidRPr="00A519E9">
        <w:rPr>
          <w:rFonts w:ascii="ITC New Baskerville Std" w:hAnsi="ITC New Baskerville Std"/>
          <w:sz w:val="20"/>
          <w:szCs w:val="20"/>
        </w:rPr>
        <w:t>se obteña unha experiencia práctica que complemente a adquisición de competencias técnicas e persoais e,</w:t>
      </w:r>
    </w:p>
    <w:p w:rsidR="005005E1" w:rsidRPr="00A519E9" w:rsidRDefault="00E72021" w:rsidP="002D3C67">
      <w:pPr>
        <w:pStyle w:val="Prrafodelista"/>
        <w:numPr>
          <w:ilvl w:val="0"/>
          <w:numId w:val="13"/>
        </w:numPr>
        <w:spacing w:after="0"/>
        <w:ind w:left="426"/>
        <w:jc w:val="both"/>
        <w:rPr>
          <w:rFonts w:ascii="ITC New Baskerville Std" w:hAnsi="ITC New Baskerville Std"/>
          <w:sz w:val="20"/>
          <w:szCs w:val="20"/>
        </w:rPr>
      </w:pPr>
      <w:r w:rsidRPr="00A519E9">
        <w:rPr>
          <w:rFonts w:ascii="ITC New Baskerville Std" w:hAnsi="ITC New Baskerville Std"/>
          <w:sz w:val="20"/>
          <w:szCs w:val="20"/>
        </w:rPr>
        <w:t xml:space="preserve">permitan alcanzar os obxectivos de mobilidade dos centros e </w:t>
      </w:r>
      <w:r w:rsidR="00A108A3">
        <w:rPr>
          <w:rFonts w:ascii="ITC New Baskerville Std" w:hAnsi="ITC New Baskerville Std"/>
          <w:sz w:val="20"/>
          <w:szCs w:val="20"/>
        </w:rPr>
        <w:t xml:space="preserve">das </w:t>
      </w:r>
      <w:r w:rsidRPr="00A519E9">
        <w:rPr>
          <w:rFonts w:ascii="ITC New Baskerville Std" w:hAnsi="ITC New Baskerville Std"/>
          <w:sz w:val="20"/>
          <w:szCs w:val="20"/>
        </w:rPr>
        <w:t>titulacións.</w:t>
      </w:r>
    </w:p>
    <w:p w:rsidR="00E72021" w:rsidRPr="00A519E9" w:rsidRDefault="00E72021" w:rsidP="00E72021">
      <w:pPr>
        <w:pStyle w:val="Prrafodelista"/>
        <w:spacing w:after="0"/>
        <w:ind w:left="426"/>
        <w:rPr>
          <w:rFonts w:ascii="ITC New Baskerville Std" w:hAnsi="ITC New Baskerville Std"/>
          <w:sz w:val="20"/>
          <w:szCs w:val="20"/>
        </w:rPr>
      </w:pPr>
    </w:p>
    <w:p w:rsidR="00807BEA" w:rsidRPr="00A519E9" w:rsidRDefault="00807BEA" w:rsidP="00442A24">
      <w:pPr>
        <w:spacing w:after="0"/>
        <w:rPr>
          <w:rFonts w:ascii="ITC New Baskerville Std" w:hAnsi="ITC New Baskerville Std"/>
          <w:sz w:val="20"/>
          <w:szCs w:val="20"/>
        </w:rPr>
      </w:pPr>
    </w:p>
    <w:p w:rsidR="00442A24" w:rsidRPr="00A519E9" w:rsidRDefault="00442A24" w:rsidP="00612C0D">
      <w:pPr>
        <w:pStyle w:val="Prrafodelista"/>
        <w:numPr>
          <w:ilvl w:val="0"/>
          <w:numId w:val="2"/>
        </w:numPr>
        <w:tabs>
          <w:tab w:val="left" w:pos="567"/>
        </w:tabs>
        <w:spacing w:after="0" w:line="240" w:lineRule="auto"/>
        <w:ind w:left="284" w:hanging="284"/>
        <w:rPr>
          <w:rFonts w:ascii="ITC New Baskerville Std" w:hAnsi="ITC New Baskerville Std"/>
          <w:b/>
          <w:sz w:val="24"/>
        </w:rPr>
      </w:pPr>
      <w:r w:rsidRPr="00A519E9">
        <w:rPr>
          <w:rFonts w:ascii="ITC New Baskerville Std" w:hAnsi="ITC New Baskerville Std"/>
          <w:b/>
          <w:sz w:val="24"/>
        </w:rPr>
        <w:t>Responsable do proceso</w:t>
      </w:r>
    </w:p>
    <w:p w:rsidR="00442A24" w:rsidRPr="00A519E9" w:rsidRDefault="00442A24" w:rsidP="00442A24">
      <w:pPr>
        <w:spacing w:after="0"/>
        <w:rPr>
          <w:rFonts w:ascii="ITC New Baskerville Std" w:hAnsi="ITC New Baskerville Std"/>
          <w:sz w:val="20"/>
          <w:szCs w:val="20"/>
        </w:rPr>
      </w:pPr>
    </w:p>
    <w:p w:rsidR="00E72021" w:rsidRPr="00A519E9" w:rsidRDefault="000D5995" w:rsidP="00E72021">
      <w:pPr>
        <w:pStyle w:val="Prrafodelista"/>
        <w:numPr>
          <w:ilvl w:val="0"/>
          <w:numId w:val="14"/>
        </w:numPr>
        <w:spacing w:after="0"/>
        <w:ind w:left="426" w:hanging="426"/>
        <w:rPr>
          <w:rFonts w:ascii="ITC New Baskerville Std" w:hAnsi="ITC New Baskerville Std"/>
          <w:sz w:val="20"/>
          <w:szCs w:val="20"/>
        </w:rPr>
      </w:pPr>
      <w:r>
        <w:rPr>
          <w:rFonts w:ascii="ITC New Baskerville Std" w:hAnsi="ITC New Baskerville Std"/>
          <w:sz w:val="20"/>
          <w:szCs w:val="20"/>
        </w:rPr>
        <w:t>Responsable de re</w:t>
      </w:r>
      <w:r w:rsidR="00E72021" w:rsidRPr="00A519E9">
        <w:rPr>
          <w:rFonts w:ascii="ITC New Baskerville Std" w:hAnsi="ITC New Baskerville Std"/>
          <w:sz w:val="20"/>
          <w:szCs w:val="20"/>
        </w:rPr>
        <w:t xml:space="preserve">lacións </w:t>
      </w:r>
      <w:r>
        <w:rPr>
          <w:rFonts w:ascii="ITC New Baskerville Std" w:hAnsi="ITC New Baskerville Std"/>
          <w:sz w:val="20"/>
          <w:szCs w:val="20"/>
        </w:rPr>
        <w:t>e</w:t>
      </w:r>
      <w:r w:rsidR="00E72021" w:rsidRPr="00A519E9">
        <w:rPr>
          <w:rFonts w:ascii="ITC New Baskerville Std" w:hAnsi="ITC New Baskerville Std"/>
          <w:sz w:val="20"/>
          <w:szCs w:val="20"/>
        </w:rPr>
        <w:t>xternas (nacionais e/ou internacionais).</w:t>
      </w:r>
    </w:p>
    <w:p w:rsidR="00442A24" w:rsidRPr="00A519E9" w:rsidRDefault="00442A24" w:rsidP="00442A24">
      <w:pPr>
        <w:pStyle w:val="Prrafodelista"/>
        <w:spacing w:after="0"/>
        <w:rPr>
          <w:rFonts w:ascii="ITC New Baskerville Std" w:hAnsi="ITC New Baskerville Std"/>
          <w:sz w:val="20"/>
          <w:szCs w:val="20"/>
          <w:highlight w:val="yellow"/>
        </w:rPr>
      </w:pPr>
    </w:p>
    <w:p w:rsidR="00442A24" w:rsidRPr="00A519E9" w:rsidRDefault="00442A24" w:rsidP="00442A24">
      <w:pPr>
        <w:pStyle w:val="Prrafodelista"/>
        <w:spacing w:after="0"/>
        <w:rPr>
          <w:rFonts w:ascii="ITC New Baskerville Std" w:hAnsi="ITC New Baskerville Std"/>
          <w:sz w:val="20"/>
          <w:szCs w:val="20"/>
          <w:highlight w:val="yellow"/>
        </w:rPr>
      </w:pPr>
    </w:p>
    <w:p w:rsidR="00442A24" w:rsidRPr="00A519E9" w:rsidRDefault="00442A24" w:rsidP="00612C0D">
      <w:pPr>
        <w:pStyle w:val="Prrafodelista"/>
        <w:numPr>
          <w:ilvl w:val="0"/>
          <w:numId w:val="2"/>
        </w:numPr>
        <w:tabs>
          <w:tab w:val="left" w:pos="567"/>
        </w:tabs>
        <w:spacing w:after="0" w:line="240" w:lineRule="auto"/>
        <w:ind w:left="284" w:hanging="284"/>
        <w:rPr>
          <w:rFonts w:ascii="ITC New Baskerville Std" w:hAnsi="ITC New Baskerville Std"/>
          <w:b/>
          <w:sz w:val="24"/>
        </w:rPr>
      </w:pPr>
      <w:r w:rsidRPr="00A519E9">
        <w:rPr>
          <w:rFonts w:ascii="ITC New Baskerville Std" w:hAnsi="ITC New Baskerville Std"/>
          <w:b/>
          <w:sz w:val="24"/>
        </w:rPr>
        <w:t>Indicadores</w:t>
      </w:r>
    </w:p>
    <w:p w:rsidR="00442A24" w:rsidRPr="00A519E9" w:rsidRDefault="00442A24" w:rsidP="00442A24">
      <w:pPr>
        <w:spacing w:after="0"/>
        <w:rPr>
          <w:rFonts w:ascii="ITC New Baskerville Std" w:hAnsi="ITC New Baskerville Std"/>
          <w:sz w:val="20"/>
          <w:szCs w:val="20"/>
        </w:rPr>
      </w:pPr>
    </w:p>
    <w:p w:rsidR="00442A24" w:rsidRPr="00A519E9" w:rsidRDefault="00442A24" w:rsidP="00442A24">
      <w:pPr>
        <w:spacing w:after="120"/>
        <w:jc w:val="both"/>
        <w:rPr>
          <w:rFonts w:ascii="ITC New Baskerville Std" w:hAnsi="ITC New Baskerville Std"/>
          <w:i/>
          <w:sz w:val="20"/>
          <w:szCs w:val="20"/>
        </w:rPr>
      </w:pPr>
      <w:r w:rsidRPr="00A519E9">
        <w:rPr>
          <w:rFonts w:ascii="ITC New Baskerville Std" w:hAnsi="ITC New Baskerville Std"/>
          <w:sz w:val="20"/>
          <w:szCs w:val="20"/>
        </w:rPr>
        <w:t>Os indicadores asociados a este proceso están identificados e definidos no procedemento DE-02 P1 «</w:t>
      </w:r>
      <w:r w:rsidR="00C567AD" w:rsidRPr="00A519E9">
        <w:rPr>
          <w:rFonts w:ascii="ITC New Baskerville Std" w:hAnsi="ITC New Baskerville Std"/>
          <w:sz w:val="20"/>
          <w:szCs w:val="20"/>
        </w:rPr>
        <w:t>Seguimento e medición</w:t>
      </w:r>
      <w:r w:rsidRPr="00A519E9">
        <w:rPr>
          <w:rFonts w:ascii="ITC New Baskerville Std" w:hAnsi="ITC New Baskerville Std"/>
          <w:sz w:val="20"/>
          <w:szCs w:val="20"/>
        </w:rPr>
        <w:t>».</w:t>
      </w:r>
    </w:p>
    <w:p w:rsidR="00442A24" w:rsidRPr="00A519E9" w:rsidRDefault="00442A24" w:rsidP="00442A24">
      <w:pPr>
        <w:spacing w:after="120"/>
        <w:rPr>
          <w:rFonts w:ascii="ITC New Baskerville Std" w:hAnsi="ITC New Baskerville Std"/>
          <w:i/>
          <w:sz w:val="20"/>
          <w:szCs w:val="20"/>
        </w:rPr>
      </w:pPr>
    </w:p>
    <w:p w:rsidR="00442A24" w:rsidRPr="00A519E9" w:rsidRDefault="00442A24" w:rsidP="00612C0D">
      <w:pPr>
        <w:pStyle w:val="Prrafodelista"/>
        <w:numPr>
          <w:ilvl w:val="0"/>
          <w:numId w:val="2"/>
        </w:numPr>
        <w:tabs>
          <w:tab w:val="left" w:pos="567"/>
        </w:tabs>
        <w:spacing w:after="0" w:line="240" w:lineRule="auto"/>
        <w:ind w:left="284" w:hanging="284"/>
        <w:rPr>
          <w:rFonts w:ascii="ITC New Baskerville Std" w:hAnsi="ITC New Baskerville Std"/>
          <w:b/>
          <w:sz w:val="24"/>
        </w:rPr>
      </w:pPr>
      <w:r w:rsidRPr="00A519E9">
        <w:rPr>
          <w:rFonts w:ascii="ITC New Baskerville Std" w:hAnsi="ITC New Baskerville Std"/>
          <w:b/>
          <w:sz w:val="24"/>
        </w:rPr>
        <w:t>Diagrama de fluxo</w:t>
      </w:r>
    </w:p>
    <w:p w:rsidR="00974ECE" w:rsidRPr="00A519E9" w:rsidRDefault="00974ECE" w:rsidP="00051B39">
      <w:pPr>
        <w:spacing w:after="120"/>
        <w:jc w:val="both"/>
        <w:rPr>
          <w:rFonts w:ascii="ITC New Baskerville Std" w:hAnsi="ITC New Baskerville Std"/>
          <w:sz w:val="20"/>
          <w:szCs w:val="20"/>
        </w:rPr>
      </w:pPr>
    </w:p>
    <w:p w:rsidR="005C17C7" w:rsidRDefault="005C17C7" w:rsidP="00E72021">
      <w:pPr>
        <w:spacing w:after="120"/>
        <w:jc w:val="both"/>
        <w:rPr>
          <w:rFonts w:ascii="ITC New Baskerville Std" w:hAnsi="ITC New Baskerville Std"/>
          <w:sz w:val="20"/>
          <w:szCs w:val="20"/>
        </w:rPr>
      </w:pPr>
      <w:r>
        <w:rPr>
          <w:rFonts w:ascii="ITC New Baskerville Std" w:hAnsi="ITC New Baskerville Std"/>
          <w:sz w:val="20"/>
          <w:szCs w:val="20"/>
        </w:rPr>
        <w:t>Xe</w:t>
      </w:r>
      <w:r w:rsidR="00A108A3">
        <w:rPr>
          <w:rFonts w:ascii="ITC New Baskerville Std" w:hAnsi="ITC New Baskerville Std"/>
          <w:sz w:val="20"/>
          <w:szCs w:val="20"/>
        </w:rPr>
        <w:t>ne</w:t>
      </w:r>
      <w:r>
        <w:rPr>
          <w:rFonts w:ascii="ITC New Baskerville Std" w:hAnsi="ITC New Baskerville Std"/>
          <w:sz w:val="20"/>
          <w:szCs w:val="20"/>
        </w:rPr>
        <w:t>ralidades:</w:t>
      </w:r>
    </w:p>
    <w:p w:rsidR="00E72021" w:rsidRPr="00A519E9" w:rsidRDefault="00E72021" w:rsidP="00E72021">
      <w:pPr>
        <w:spacing w:after="120"/>
        <w:jc w:val="both"/>
        <w:rPr>
          <w:rFonts w:ascii="ITC New Baskerville Std" w:hAnsi="ITC New Baskerville Std"/>
          <w:sz w:val="20"/>
          <w:szCs w:val="20"/>
        </w:rPr>
      </w:pPr>
      <w:r w:rsidRPr="00A519E9">
        <w:rPr>
          <w:rFonts w:ascii="ITC New Baskerville Std" w:hAnsi="ITC New Baskerville Std"/>
          <w:sz w:val="20"/>
          <w:szCs w:val="20"/>
        </w:rPr>
        <w:t xml:space="preserve">A xestión da mobilidade dos programas de intercambio de ámbito internacional é coordinada, no ámbito institucional, pola ORI no </w:t>
      </w:r>
      <w:r w:rsidR="005C17C7">
        <w:rPr>
          <w:rFonts w:ascii="ITC New Baskerville Std" w:hAnsi="ITC New Baskerville Std"/>
          <w:sz w:val="20"/>
          <w:szCs w:val="20"/>
        </w:rPr>
        <w:t>cadro</w:t>
      </w:r>
      <w:r w:rsidRPr="00A519E9">
        <w:rPr>
          <w:rFonts w:ascii="ITC New Baskerville Std" w:hAnsi="ITC New Baskerville Std"/>
          <w:sz w:val="20"/>
          <w:szCs w:val="20"/>
        </w:rPr>
        <w:t xml:space="preserve"> da </w:t>
      </w:r>
      <w:r w:rsidR="008E37CA">
        <w:rPr>
          <w:rFonts w:ascii="ITC New Baskerville Std" w:hAnsi="ITC New Baskerville Std"/>
          <w:sz w:val="20"/>
          <w:szCs w:val="20"/>
        </w:rPr>
        <w:t>v</w:t>
      </w:r>
      <w:r w:rsidRPr="00A519E9">
        <w:rPr>
          <w:rFonts w:ascii="ITC New Baskerville Std" w:hAnsi="ITC New Baskerville Std"/>
          <w:sz w:val="20"/>
          <w:szCs w:val="20"/>
        </w:rPr>
        <w:t xml:space="preserve">icerreitoría competente en </w:t>
      </w:r>
      <w:r w:rsidR="008E37CA">
        <w:rPr>
          <w:rFonts w:ascii="ITC New Baskerville Std" w:hAnsi="ITC New Baskerville Std"/>
          <w:sz w:val="20"/>
          <w:szCs w:val="20"/>
        </w:rPr>
        <w:t>r</w:t>
      </w:r>
      <w:r w:rsidRPr="00A519E9">
        <w:rPr>
          <w:rFonts w:ascii="ITC New Baskerville Std" w:hAnsi="ITC New Baskerville Std"/>
          <w:sz w:val="20"/>
          <w:szCs w:val="20"/>
        </w:rPr>
        <w:t xml:space="preserve">elacións </w:t>
      </w:r>
      <w:r w:rsidR="008E37CA">
        <w:rPr>
          <w:rFonts w:ascii="ITC New Baskerville Std" w:hAnsi="ITC New Baskerville Std"/>
          <w:sz w:val="20"/>
          <w:szCs w:val="20"/>
        </w:rPr>
        <w:t>i</w:t>
      </w:r>
      <w:r w:rsidRPr="00A519E9">
        <w:rPr>
          <w:rFonts w:ascii="ITC New Baskerville Std" w:hAnsi="ITC New Baskerville Std"/>
          <w:sz w:val="20"/>
          <w:szCs w:val="20"/>
        </w:rPr>
        <w:t>nternacionais.</w:t>
      </w:r>
    </w:p>
    <w:p w:rsidR="00E72021" w:rsidRPr="00A519E9" w:rsidRDefault="00E72021" w:rsidP="00E72021">
      <w:pPr>
        <w:spacing w:after="120"/>
        <w:jc w:val="both"/>
        <w:rPr>
          <w:rFonts w:ascii="ITC New Baskerville Std" w:hAnsi="ITC New Baskerville Std"/>
          <w:sz w:val="20"/>
          <w:szCs w:val="20"/>
        </w:rPr>
      </w:pPr>
    </w:p>
    <w:p w:rsidR="00837AE7" w:rsidRPr="00A519E9" w:rsidRDefault="00E72021" w:rsidP="00E72021">
      <w:pPr>
        <w:spacing w:after="120"/>
        <w:jc w:val="both"/>
        <w:rPr>
          <w:rFonts w:ascii="ITC New Baskerville Std" w:hAnsi="ITC New Baskerville Std"/>
          <w:sz w:val="20"/>
          <w:szCs w:val="20"/>
        </w:rPr>
      </w:pPr>
      <w:r w:rsidRPr="00A519E9">
        <w:rPr>
          <w:rFonts w:ascii="ITC New Baskerville Std" w:hAnsi="ITC New Baskerville Std"/>
          <w:sz w:val="20"/>
          <w:szCs w:val="20"/>
        </w:rPr>
        <w:lastRenderedPageBreak/>
        <w:t xml:space="preserve">A xestión da mobilidade dos programas de intercambio de ámbito nacional é coordinada, no ámbito institucional, polo Servizo de Alumnado no </w:t>
      </w:r>
      <w:r w:rsidR="005C17C7">
        <w:rPr>
          <w:rFonts w:ascii="ITC New Baskerville Std" w:hAnsi="ITC New Baskerville Std"/>
          <w:sz w:val="20"/>
          <w:szCs w:val="20"/>
        </w:rPr>
        <w:t>cadro</w:t>
      </w:r>
      <w:r w:rsidRPr="00A519E9">
        <w:rPr>
          <w:rFonts w:ascii="ITC New Baskerville Std" w:hAnsi="ITC New Baskerville Std"/>
          <w:sz w:val="20"/>
          <w:szCs w:val="20"/>
        </w:rPr>
        <w:t xml:space="preserve"> da </w:t>
      </w:r>
      <w:r w:rsidR="008E37CA">
        <w:rPr>
          <w:rFonts w:ascii="ITC New Baskerville Std" w:hAnsi="ITC New Baskerville Std"/>
          <w:sz w:val="20"/>
          <w:szCs w:val="20"/>
        </w:rPr>
        <w:t>v</w:t>
      </w:r>
      <w:r w:rsidRPr="00A519E9">
        <w:rPr>
          <w:rFonts w:ascii="ITC New Baskerville Std" w:hAnsi="ITC New Baskerville Std"/>
          <w:sz w:val="20"/>
          <w:szCs w:val="20"/>
        </w:rPr>
        <w:t>icerreitoría competente.</w:t>
      </w:r>
    </w:p>
    <w:p w:rsidR="0004660E" w:rsidRPr="00A519E9" w:rsidRDefault="0004660E" w:rsidP="00E72021">
      <w:pPr>
        <w:spacing w:after="120"/>
        <w:jc w:val="both"/>
        <w:rPr>
          <w:rFonts w:ascii="ITC New Baskerville Std" w:hAnsi="ITC New Baskerville Std"/>
          <w:sz w:val="20"/>
          <w:szCs w:val="20"/>
        </w:rPr>
      </w:pPr>
    </w:p>
    <w:p w:rsidR="0004660E" w:rsidRPr="00A519E9" w:rsidRDefault="00F9579B" w:rsidP="00E72021">
      <w:pPr>
        <w:spacing w:after="120"/>
        <w:jc w:val="both"/>
        <w:rPr>
          <w:rFonts w:ascii="ITC New Baskerville Std" w:hAnsi="ITC New Baskerville Std"/>
          <w:sz w:val="20"/>
          <w:szCs w:val="20"/>
        </w:rPr>
      </w:pPr>
      <w:r>
        <w:object w:dxaOrig="12991" w:dyaOrig="143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73.95pt;height:524.05pt" o:ole="">
            <v:imagedata r:id="rId14" o:title=""/>
          </v:shape>
          <o:OLEObject Type="Embed" ProgID="Visio.Drawing.15" ShapeID="_x0000_i1030" DrawAspect="Content" ObjectID="_1434265539" r:id="rId15"/>
        </w:object>
      </w:r>
    </w:p>
    <w:p w:rsidR="0004660E" w:rsidRPr="00A519E9" w:rsidRDefault="0004660E" w:rsidP="00E72021">
      <w:pPr>
        <w:spacing w:after="120"/>
        <w:jc w:val="both"/>
        <w:rPr>
          <w:rFonts w:ascii="ITC New Baskerville Std" w:hAnsi="ITC New Baskerville Std"/>
          <w:sz w:val="20"/>
          <w:szCs w:val="20"/>
        </w:rPr>
      </w:pPr>
    </w:p>
    <w:p w:rsidR="00E65507" w:rsidRPr="00A519E9" w:rsidRDefault="00E65507" w:rsidP="00612C0D">
      <w:pPr>
        <w:pStyle w:val="Prrafodelista"/>
        <w:tabs>
          <w:tab w:val="left" w:pos="2694"/>
        </w:tabs>
        <w:spacing w:after="0" w:line="240" w:lineRule="auto"/>
        <w:ind w:left="284"/>
      </w:pPr>
    </w:p>
    <w:p w:rsidR="00193623" w:rsidRDefault="00F9579B" w:rsidP="00612C0D">
      <w:pPr>
        <w:spacing w:after="120"/>
        <w:ind w:left="-284"/>
        <w:jc w:val="both"/>
        <w:rPr>
          <w:rFonts w:ascii="ITC New Baskerville Std" w:hAnsi="ITC New Baskerville Std"/>
        </w:rPr>
      </w:pPr>
      <w:r>
        <w:object w:dxaOrig="12991" w:dyaOrig="15900">
          <v:shape id="_x0000_i1035" type="#_x0000_t75" style="width:473.95pt;height:580.4pt" o:ole="">
            <v:imagedata r:id="rId16" o:title=""/>
          </v:shape>
          <o:OLEObject Type="Embed" ProgID="Visio.Drawing.15" ShapeID="_x0000_i1035" DrawAspect="Content" ObjectID="_1434265540" r:id="rId17"/>
        </w:object>
      </w:r>
    </w:p>
    <w:p w:rsidR="00193623" w:rsidRDefault="00F9579B" w:rsidP="00612C0D">
      <w:pPr>
        <w:spacing w:after="120"/>
        <w:ind w:left="-284"/>
        <w:jc w:val="both"/>
        <w:rPr>
          <w:rFonts w:ascii="ITC New Baskerville Std" w:hAnsi="ITC New Baskerville Std"/>
        </w:rPr>
      </w:pPr>
      <w:r>
        <w:object w:dxaOrig="12991" w:dyaOrig="15825">
          <v:shape id="_x0000_i1037" type="#_x0000_t75" style="width:473.95pt;height:577.9pt" o:ole="">
            <v:imagedata r:id="rId18" o:title=""/>
          </v:shape>
          <o:OLEObject Type="Embed" ProgID="Visio.Drawing.15" ShapeID="_x0000_i1037" DrawAspect="Content" ObjectID="_1434265541" r:id="rId19"/>
        </w:object>
      </w:r>
    </w:p>
    <w:p w:rsidR="00193623" w:rsidRDefault="00193623" w:rsidP="00612C0D">
      <w:pPr>
        <w:spacing w:after="120"/>
        <w:ind w:left="-284"/>
        <w:jc w:val="both"/>
        <w:rPr>
          <w:rFonts w:ascii="ITC New Baskerville Std" w:hAnsi="ITC New Baskerville Std"/>
        </w:rPr>
      </w:pPr>
    </w:p>
    <w:p w:rsidR="00F9579B" w:rsidRDefault="00F9579B" w:rsidP="00612C0D">
      <w:pPr>
        <w:spacing w:after="120"/>
        <w:ind w:left="-284"/>
        <w:jc w:val="both"/>
        <w:rPr>
          <w:rFonts w:ascii="ITC New Baskerville Std" w:hAnsi="ITC New Baskerville Std"/>
        </w:rPr>
      </w:pPr>
      <w:r>
        <w:object w:dxaOrig="13215" w:dyaOrig="9510">
          <v:shape id="_x0000_i1039" type="#_x0000_t75" style="width:474.55pt;height:341.2pt" o:ole="">
            <v:imagedata r:id="rId20" o:title=""/>
          </v:shape>
          <o:OLEObject Type="Embed" ProgID="Visio.Drawing.15" ShapeID="_x0000_i1039" DrawAspect="Content" ObjectID="_1434265542" r:id="rId21"/>
        </w:object>
      </w:r>
      <w:bookmarkStart w:id="4" w:name="_GoBack"/>
      <w:bookmarkEnd w:id="4"/>
    </w:p>
    <w:p w:rsidR="00F9579B" w:rsidRDefault="00F9579B" w:rsidP="00612C0D">
      <w:pPr>
        <w:spacing w:after="120"/>
        <w:ind w:left="-284"/>
        <w:jc w:val="both"/>
        <w:rPr>
          <w:rFonts w:ascii="ITC New Baskerville Std" w:hAnsi="ITC New Baskerville Std"/>
        </w:rPr>
      </w:pPr>
    </w:p>
    <w:p w:rsidR="00F9579B" w:rsidRDefault="00F9579B" w:rsidP="00612C0D">
      <w:pPr>
        <w:spacing w:after="120"/>
        <w:ind w:left="-284"/>
        <w:jc w:val="both"/>
        <w:rPr>
          <w:rFonts w:ascii="ITC New Baskerville Std" w:hAnsi="ITC New Baskerville Std"/>
        </w:rPr>
      </w:pPr>
    </w:p>
    <w:p w:rsidR="00612C0D" w:rsidRPr="00A519E9" w:rsidRDefault="00612C0D" w:rsidP="00612C0D">
      <w:pPr>
        <w:spacing w:after="120"/>
        <w:ind w:left="-284"/>
        <w:jc w:val="both"/>
        <w:rPr>
          <w:rFonts w:ascii="ITC New Baskerville Std" w:hAnsi="ITC New Baskerville Std"/>
        </w:rPr>
      </w:pPr>
      <w:r w:rsidRPr="00A519E9">
        <w:rPr>
          <w:rFonts w:ascii="ITC New Baskerville Std" w:hAnsi="ITC New Baskerville Std"/>
        </w:rPr>
        <w:t xml:space="preserve">Comentarios: </w:t>
      </w:r>
    </w:p>
    <w:p w:rsidR="00F430C5" w:rsidRPr="00A519E9" w:rsidRDefault="0004660E" w:rsidP="00177CB6">
      <w:pPr>
        <w:spacing w:after="120"/>
        <w:ind w:left="-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A519E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-</w:t>
      </w:r>
    </w:p>
    <w:p w:rsidR="0004660E" w:rsidRPr="00A519E9" w:rsidRDefault="0004660E" w:rsidP="00177CB6">
      <w:pPr>
        <w:spacing w:after="120"/>
        <w:ind w:left="-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04660E" w:rsidRPr="00A519E9" w:rsidRDefault="0004660E" w:rsidP="00177CB6">
      <w:pPr>
        <w:spacing w:after="120"/>
        <w:ind w:left="-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04660E" w:rsidRPr="00A519E9" w:rsidRDefault="0004660E" w:rsidP="00177CB6">
      <w:pPr>
        <w:spacing w:after="120"/>
        <w:ind w:left="-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04660E" w:rsidRPr="00A519E9" w:rsidRDefault="0004660E" w:rsidP="00177CB6">
      <w:pPr>
        <w:spacing w:after="120"/>
        <w:ind w:left="-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04660E" w:rsidRPr="00A519E9" w:rsidRDefault="0004660E" w:rsidP="00177CB6">
      <w:pPr>
        <w:spacing w:after="120"/>
        <w:ind w:left="-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04660E" w:rsidRPr="00A519E9" w:rsidRDefault="0004660E" w:rsidP="00177CB6">
      <w:pPr>
        <w:spacing w:after="120"/>
        <w:ind w:left="-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04660E" w:rsidRPr="00A519E9" w:rsidRDefault="0004660E" w:rsidP="00177CB6">
      <w:pPr>
        <w:spacing w:after="120"/>
        <w:ind w:left="-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04660E" w:rsidRPr="00A519E9" w:rsidRDefault="0004660E" w:rsidP="00177CB6">
      <w:pPr>
        <w:spacing w:after="120"/>
        <w:ind w:left="-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04660E" w:rsidRDefault="0004660E" w:rsidP="00177CB6">
      <w:pPr>
        <w:spacing w:after="120"/>
        <w:ind w:left="-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8E37CA" w:rsidRPr="00A519E9" w:rsidRDefault="008E37CA" w:rsidP="00177CB6">
      <w:pPr>
        <w:spacing w:after="120"/>
        <w:ind w:left="-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04660E" w:rsidRPr="00A519E9" w:rsidRDefault="0004660E" w:rsidP="00177CB6">
      <w:pPr>
        <w:spacing w:after="120"/>
        <w:ind w:left="-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072916" w:rsidRPr="00A519E9" w:rsidRDefault="00F875D0" w:rsidP="00612C0D">
      <w:pPr>
        <w:pStyle w:val="Prrafodelista"/>
        <w:numPr>
          <w:ilvl w:val="0"/>
          <w:numId w:val="2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ITC New Baskerville Std" w:hAnsi="ITC New Baskerville Std"/>
          <w:b/>
          <w:sz w:val="24"/>
        </w:rPr>
      </w:pPr>
      <w:r w:rsidRPr="00A519E9">
        <w:rPr>
          <w:rFonts w:ascii="ITC New Baskerville Std" w:hAnsi="ITC New Baskerville Std"/>
          <w:b/>
          <w:sz w:val="24"/>
        </w:rPr>
        <w:lastRenderedPageBreak/>
        <w:t>Ciclo de me</w:t>
      </w:r>
      <w:r w:rsidR="00442A24" w:rsidRPr="00A519E9">
        <w:rPr>
          <w:rFonts w:ascii="ITC New Baskerville Std" w:hAnsi="ITC New Baskerville Std"/>
          <w:b/>
          <w:sz w:val="24"/>
        </w:rPr>
        <w:t>ll</w:t>
      </w:r>
      <w:r w:rsidRPr="00A519E9">
        <w:rPr>
          <w:rFonts w:ascii="ITC New Baskerville Std" w:hAnsi="ITC New Baskerville Std"/>
          <w:b/>
          <w:sz w:val="24"/>
        </w:rPr>
        <w:t>ora continua d</w:t>
      </w:r>
      <w:r w:rsidR="00442A24" w:rsidRPr="00A519E9">
        <w:rPr>
          <w:rFonts w:ascii="ITC New Baskerville Std" w:hAnsi="ITC New Baskerville Std"/>
          <w:b/>
          <w:sz w:val="24"/>
        </w:rPr>
        <w:t>o</w:t>
      </w:r>
      <w:r w:rsidRPr="00A519E9">
        <w:rPr>
          <w:rFonts w:ascii="ITC New Baskerville Std" w:hAnsi="ITC New Baskerville Std"/>
          <w:b/>
          <w:sz w:val="24"/>
        </w:rPr>
        <w:t xml:space="preserve"> proceso</w:t>
      </w:r>
      <w:r w:rsidR="00660739" w:rsidRPr="00A519E9">
        <w:rPr>
          <w:rFonts w:ascii="ITC New Baskerville Std" w:hAnsi="ITC New Baskerville Std"/>
          <w:b/>
          <w:sz w:val="24"/>
        </w:rPr>
        <w:t xml:space="preserve"> (PDCA)</w:t>
      </w:r>
    </w:p>
    <w:p w:rsidR="00F875D0" w:rsidRPr="00A519E9" w:rsidRDefault="00F875D0" w:rsidP="00177CB6">
      <w:pPr>
        <w:pStyle w:val="Prrafodelista"/>
        <w:tabs>
          <w:tab w:val="left" w:pos="2694"/>
        </w:tabs>
        <w:spacing w:after="0" w:line="240" w:lineRule="auto"/>
        <w:ind w:left="284"/>
        <w:jc w:val="both"/>
        <w:rPr>
          <w:rFonts w:ascii="ITC New Baskerville Std" w:hAnsi="ITC New Baskerville Std"/>
          <w:i/>
          <w:sz w:val="24"/>
        </w:rPr>
      </w:pPr>
    </w:p>
    <w:p w:rsidR="00167E21" w:rsidRPr="00A519E9" w:rsidRDefault="00F9579B" w:rsidP="00177CB6">
      <w:pPr>
        <w:spacing w:after="120"/>
        <w:jc w:val="both"/>
        <w:rPr>
          <w:rFonts w:ascii="ITC New Baskerville Std" w:hAnsi="ITC New Baskerville Std"/>
          <w:b/>
        </w:rPr>
      </w:pPr>
      <w:r>
        <w:rPr>
          <w:rFonts w:ascii="ITC New Baskerville Std" w:hAnsi="ITC New Baskerville Std"/>
          <w:noProof/>
          <w:lang w:eastAsia="gl-ES"/>
        </w:rPr>
        <w:pict>
          <v:oval id="_x0000_s1120" style="position:absolute;left:0;text-align:left;margin-left:154.55pt;margin-top:220.05pt;width:16.2pt;height:16.05pt;z-index:252100608;mso-width-relative:margin;mso-height-relative:margin;v-text-anchor:middle" filled="f" strokecolor="windowText">
            <o:lock v:ext="edit" aspectratio="t"/>
            <v:textbox inset="0,0,0,0">
              <w:txbxContent>
                <w:p w:rsidR="00660739" w:rsidRPr="009977B6" w:rsidRDefault="00660739" w:rsidP="00660739">
                  <w:pPr>
                    <w:jc w:val="center"/>
                    <w:rPr>
                      <w:sz w:val="20"/>
                      <w:szCs w:val="20"/>
                      <w:lang w:val="es-ES"/>
                    </w:rPr>
                  </w:pPr>
                  <w:r w:rsidRPr="009977B6">
                    <w:rPr>
                      <w:rFonts w:ascii="ITC New Baskerville Std" w:hAnsi="ITC New Baskerville Std"/>
                      <w:b/>
                      <w:sz w:val="20"/>
                      <w:szCs w:val="20"/>
                      <w:lang w:val="es-ES"/>
                    </w:rPr>
                    <w:t>D</w:t>
                  </w:r>
                </w:p>
              </w:txbxContent>
            </v:textbox>
          </v:oval>
        </w:pict>
      </w:r>
      <w:r>
        <w:rPr>
          <w:rFonts w:ascii="ITC New Baskerville Std" w:hAnsi="ITC New Baskerville Std"/>
          <w:noProof/>
          <w:lang w:eastAsia="gl-ES"/>
        </w:rPr>
        <w:pict>
          <v:oval id="_x0000_s1119" style="position:absolute;left:0;text-align:left;margin-left:178.3pt;margin-top:61.9pt;width:16.2pt;height:16.05pt;z-index:252099584;mso-width-relative:margin;mso-height-relative:margin;v-text-anchor:middle" filled="f" strokecolor="windowText">
            <o:lock v:ext="edit" aspectratio="t"/>
            <v:textbox inset="0,0,0,0">
              <w:txbxContent>
                <w:p w:rsidR="00660739" w:rsidRPr="009977B6" w:rsidRDefault="00660739" w:rsidP="00660739">
                  <w:pPr>
                    <w:jc w:val="center"/>
                    <w:rPr>
                      <w:sz w:val="20"/>
                      <w:szCs w:val="20"/>
                      <w:lang w:val="es-ES"/>
                    </w:rPr>
                  </w:pPr>
                  <w:r w:rsidRPr="009977B6">
                    <w:rPr>
                      <w:rFonts w:ascii="ITC New Baskerville Std" w:hAnsi="ITC New Baskerville Std"/>
                      <w:b/>
                      <w:sz w:val="20"/>
                      <w:szCs w:val="20"/>
                    </w:rPr>
                    <w:t>P</w:t>
                  </w:r>
                </w:p>
              </w:txbxContent>
            </v:textbox>
          </v:oval>
        </w:pict>
      </w:r>
      <w:r>
        <w:rPr>
          <w:rFonts w:ascii="ITC New Baskerville Std" w:hAnsi="ITC New Baskerville Std"/>
          <w:noProof/>
          <w:lang w:eastAsia="gl-ES"/>
        </w:rPr>
        <w:pict>
          <v:oval id="_x0000_s1121" style="position:absolute;left:0;text-align:left;margin-left:336.3pt;margin-top:229.95pt;width:16.2pt;height:16.05pt;z-index:252101632;mso-width-relative:margin;mso-height-relative:margin;v-text-anchor:middle" filled="f" strokecolor="windowText">
            <o:lock v:ext="edit" aspectratio="t"/>
            <v:textbox inset="0,0,0,0">
              <w:txbxContent>
                <w:p w:rsidR="00660739" w:rsidRPr="009977B6" w:rsidRDefault="00660739" w:rsidP="00660739">
                  <w:pPr>
                    <w:jc w:val="center"/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ITC New Baskerville Std" w:hAnsi="ITC New Baskerville Std"/>
                      <w:b/>
                      <w:sz w:val="20"/>
                      <w:szCs w:val="20"/>
                      <w:lang w:val="es-ES"/>
                    </w:rPr>
                    <w:t>C</w:t>
                  </w:r>
                </w:p>
              </w:txbxContent>
            </v:textbox>
          </v:oval>
        </w:pict>
      </w:r>
      <w:r>
        <w:rPr>
          <w:rFonts w:ascii="ITC New Baskerville Std" w:hAnsi="ITC New Baskerville Std"/>
          <w:noProof/>
          <w:lang w:eastAsia="gl-ES"/>
        </w:rPr>
        <w:pict>
          <v:oval id="_x0000_s1122" style="position:absolute;left:0;text-align:left;margin-left:302.3pt;margin-top:110.5pt;width:16.2pt;height:16.05pt;z-index:252102656;mso-width-relative:margin;mso-height-relative:margin;v-text-anchor:middle" filled="f" strokecolor="windowText">
            <o:lock v:ext="edit" aspectratio="t"/>
            <v:textbox inset="0,0,0,0">
              <w:txbxContent>
                <w:p w:rsidR="00660739" w:rsidRPr="009977B6" w:rsidRDefault="00660739" w:rsidP="00660739">
                  <w:pPr>
                    <w:jc w:val="center"/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ITC New Baskerville Std" w:hAnsi="ITC New Baskerville Std"/>
                      <w:b/>
                      <w:sz w:val="20"/>
                      <w:szCs w:val="20"/>
                      <w:lang w:val="es-ES"/>
                    </w:rPr>
                    <w:t>A</w:t>
                  </w:r>
                </w:p>
              </w:txbxContent>
            </v:textbox>
          </v:oval>
        </w:pict>
      </w:r>
      <w:r>
        <w:rPr>
          <w:rFonts w:ascii="ITC New Baskerville Std" w:hAnsi="ITC New Baskerville Std"/>
          <w:noProof/>
          <w:lang w:eastAsia="gl-ES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110" type="#_x0000_t93" style="position:absolute;left:0;text-align:left;margin-left:352.5pt;margin-top:265.7pt;width:28.9pt;height:21.8pt;z-index:252093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" adj="13454" fillcolor="#c3d69b" strokecolor="#c3d69b" strokeweight="2pt">
            <v:fill color2="#e1e8f5" rotate="t" angle="270" colors="0 #c3d69b;31457f #c2d1ed;1 #e1e8f5" focus="100%" type="gradient"/>
          </v:shape>
        </w:pict>
      </w:r>
      <w:r>
        <w:rPr>
          <w:rFonts w:ascii="ITC New Baskerville Std" w:hAnsi="ITC New Baskerville Std"/>
          <w:noProof/>
          <w:lang w:eastAsia="gl-ES"/>
        </w:rPr>
        <w:pict>
          <v:shape id="12 Flecha a la derecha con bandas" o:spid="_x0000_s1108" type="#_x0000_t93" style="position:absolute;left:0;text-align:left;margin-left:106.95pt;margin-top:253.05pt;width:31.9pt;height:21.8pt;z-index:25165823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" adj="14219" fillcolor="#c2d69b [1942]" strokecolor="#c2d69b [1942]" strokeweight="2pt">
            <v:fill color2="#d6e2f0 [756]" rotate="t" angle="270" colors="0 #c3d69b;31457f #c2d1ed;1 #e1e8f5" focus="100%" type="gradient"/>
          </v:shape>
        </w:pict>
      </w:r>
      <w:r>
        <w:rPr>
          <w:rFonts w:ascii="ITC New Baskerville Std" w:hAnsi="ITC New Baskerville Std"/>
          <w:noProof/>
          <w:lang w:eastAsia="gl-ES"/>
        </w:rPr>
        <w:pict>
          <v:shape id="_x0000_s1109" type="#_x0000_t93" style="position:absolute;left:0;text-align:left;margin-left:253.4pt;margin-top:257.55pt;width:36.55pt;height:21.8pt;z-index:252091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" adj="16261" fillcolor="#c3d69b" strokecolor="#c3d69b" strokeweight="2pt">
            <v:fill color2="#e1e8f5" rotate="t" angle="270" colors="0 #c3d69b;31457f #c2d1ed;1 #e1e8f5" focus="100%" type="gradient"/>
          </v:shape>
        </w:pict>
      </w:r>
      <w:r w:rsidR="00442A24" w:rsidRPr="00A519E9">
        <w:rPr>
          <w:rFonts w:ascii="ITC New Baskerville Std" w:hAnsi="ITC New Baskerville Std"/>
          <w:noProof/>
          <w:lang w:val="es-ES" w:eastAsia="es-ES"/>
        </w:rPr>
        <w:drawing>
          <wp:inline distT="0" distB="0" distL="0" distR="0" wp14:anchorId="62354A6F" wp14:editId="31756EF3">
            <wp:extent cx="6026785" cy="4632384"/>
            <wp:effectExtent l="76200" t="57150" r="50165" b="73025"/>
            <wp:docPr id="13" name="Diagra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442A24" w:rsidRPr="00A519E9" w:rsidRDefault="00F9579B" w:rsidP="00177CB6">
      <w:pPr>
        <w:spacing w:after="120"/>
        <w:ind w:left="720"/>
        <w:jc w:val="both"/>
        <w:rPr>
          <w:rFonts w:ascii="ITC New Baskerville Std" w:eastAsia="Times New Roman" w:hAnsi="ITC New Baskerville Std" w:cs="Arial"/>
          <w:sz w:val="16"/>
          <w:szCs w:val="16"/>
          <w:lang w:eastAsia="fr-FR"/>
        </w:rPr>
      </w:pPr>
      <w:r>
        <w:rPr>
          <w:rFonts w:ascii="ITC New Baskerville Std" w:hAnsi="ITC New Baskerville Std"/>
          <w:b/>
          <w:noProof/>
          <w:lang w:eastAsia="gl-ES"/>
        </w:rPr>
        <w:pict>
          <v:oval id="_x0000_s1128" style="position:absolute;left:0;text-align:left;margin-left:10.65pt;margin-top:-.05pt;width:16.2pt;height:16.05pt;z-index:252104704;mso-width-relative:margin;mso-height-relative:margin;v-text-anchor:middle" filled="f" strokecolor="windowText">
            <o:lock v:ext="edit" aspectratio="t"/>
            <v:textbox inset="0,0,0,0">
              <w:txbxContent>
                <w:p w:rsidR="00442A24" w:rsidRPr="009977B6" w:rsidRDefault="00442A24" w:rsidP="00442A24">
                  <w:pPr>
                    <w:jc w:val="center"/>
                    <w:rPr>
                      <w:sz w:val="20"/>
                      <w:szCs w:val="20"/>
                      <w:lang w:val="es-ES"/>
                    </w:rPr>
                  </w:pPr>
                  <w:r w:rsidRPr="009977B6">
                    <w:rPr>
                      <w:rFonts w:ascii="ITC New Baskerville Std" w:hAnsi="ITC New Baskerville Std"/>
                      <w:b/>
                      <w:sz w:val="20"/>
                      <w:szCs w:val="20"/>
                    </w:rPr>
                    <w:t>P</w:t>
                  </w:r>
                </w:p>
              </w:txbxContent>
            </v:textbox>
          </v:oval>
        </w:pict>
      </w:r>
      <w:r>
        <w:rPr>
          <w:rFonts w:ascii="ITC New Baskerville Std" w:eastAsia="Times New Roman" w:hAnsi="ITC New Baskerville Std" w:cs="Arial"/>
          <w:noProof/>
          <w:sz w:val="16"/>
          <w:szCs w:val="16"/>
          <w:lang w:eastAsia="gl-ES"/>
        </w:rPr>
        <w:pict>
          <v:oval id="_x0000_s1129" style="position:absolute;left:0;text-align:left;margin-left:10.65pt;margin-top:23.4pt;width:16.2pt;height:16.05pt;z-index:252105728;mso-width-relative:margin;mso-height-relative:margin;v-text-anchor:middle" filled="f" strokecolor="windowText">
            <o:lock v:ext="edit" aspectratio="t"/>
            <v:textbox inset="0,0,0,0">
              <w:txbxContent>
                <w:p w:rsidR="00442A24" w:rsidRPr="009977B6" w:rsidRDefault="00442A24" w:rsidP="00442A24">
                  <w:pPr>
                    <w:jc w:val="center"/>
                    <w:rPr>
                      <w:sz w:val="20"/>
                      <w:szCs w:val="20"/>
                      <w:lang w:val="es-ES"/>
                    </w:rPr>
                  </w:pPr>
                  <w:r w:rsidRPr="009977B6">
                    <w:rPr>
                      <w:rFonts w:ascii="ITC New Baskerville Std" w:hAnsi="ITC New Baskerville Std"/>
                      <w:b/>
                      <w:sz w:val="20"/>
                      <w:szCs w:val="20"/>
                      <w:lang w:val="es-ES"/>
                    </w:rPr>
                    <w:t>D</w:t>
                  </w:r>
                </w:p>
              </w:txbxContent>
            </v:textbox>
          </v:oval>
        </w:pict>
      </w:r>
      <w:r>
        <w:rPr>
          <w:rFonts w:ascii="ITC New Baskerville Std" w:eastAsia="Times New Roman" w:hAnsi="ITC New Baskerville Std" w:cs="Arial"/>
          <w:noProof/>
          <w:sz w:val="16"/>
          <w:szCs w:val="16"/>
          <w:lang w:eastAsia="gl-ES"/>
        </w:rPr>
        <w:pict>
          <v:oval id="_x0000_s1130" style="position:absolute;left:0;text-align:left;margin-left:10.65pt;margin-top:45.25pt;width:16.2pt;height:16.05pt;z-index:252106752;mso-width-relative:margin;mso-height-relative:margin;v-text-anchor:middle" filled="f" strokecolor="windowText">
            <o:lock v:ext="edit" aspectratio="t"/>
            <v:textbox inset="0,0,0,0">
              <w:txbxContent>
                <w:p w:rsidR="00442A24" w:rsidRPr="009977B6" w:rsidRDefault="00442A24" w:rsidP="00442A24">
                  <w:pPr>
                    <w:jc w:val="center"/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ITC New Baskerville Std" w:hAnsi="ITC New Baskerville Std"/>
                      <w:b/>
                      <w:sz w:val="20"/>
                      <w:szCs w:val="20"/>
                      <w:lang w:val="es-ES"/>
                    </w:rPr>
                    <w:t>C</w:t>
                  </w:r>
                </w:p>
              </w:txbxContent>
            </v:textbox>
          </v:oval>
        </w:pict>
      </w:r>
      <w:r w:rsidR="00442A24" w:rsidRPr="00A519E9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Planificar: establecer os obxectivos e os procesos necesarios para acadar resultados de acordo cos requisitos, </w:t>
      </w:r>
      <w:r w:rsidR="005C4F35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coas </w:t>
      </w:r>
      <w:r w:rsidR="00442A24" w:rsidRPr="00A519E9">
        <w:rPr>
          <w:rFonts w:ascii="ITC New Baskerville Std" w:eastAsia="Times New Roman" w:hAnsi="ITC New Baskerville Std" w:cs="Arial"/>
          <w:sz w:val="16"/>
          <w:szCs w:val="16"/>
          <w:lang w:eastAsia="fr-FR"/>
        </w:rPr>
        <w:t>necesidades e</w:t>
      </w:r>
      <w:r w:rsidR="005C4F35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 coas</w:t>
      </w:r>
      <w:r w:rsidR="00442A24" w:rsidRPr="00A519E9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 expectativas dos grupos de interese e coas políticas da organización.</w:t>
      </w:r>
    </w:p>
    <w:p w:rsidR="00442A24" w:rsidRPr="00A519E9" w:rsidRDefault="00442A24" w:rsidP="00177CB6">
      <w:pPr>
        <w:spacing w:after="120"/>
        <w:ind w:left="720"/>
        <w:jc w:val="both"/>
        <w:rPr>
          <w:rFonts w:ascii="ITC New Baskerville Std" w:eastAsia="Times New Roman" w:hAnsi="ITC New Baskerville Std" w:cs="Arial"/>
          <w:sz w:val="16"/>
          <w:szCs w:val="16"/>
          <w:lang w:eastAsia="fr-FR"/>
        </w:rPr>
      </w:pPr>
      <w:r w:rsidRPr="00A519E9">
        <w:rPr>
          <w:rFonts w:ascii="ITC New Baskerville Std" w:eastAsia="Times New Roman" w:hAnsi="ITC New Baskerville Std" w:cs="Arial"/>
          <w:sz w:val="16"/>
          <w:szCs w:val="16"/>
          <w:lang w:eastAsia="fr-FR"/>
        </w:rPr>
        <w:t>Desenvolver (facer): implantar os procesos.</w:t>
      </w:r>
    </w:p>
    <w:p w:rsidR="00442A24" w:rsidRPr="00A519E9" w:rsidRDefault="00F9579B" w:rsidP="00177CB6">
      <w:pPr>
        <w:spacing w:after="120"/>
        <w:ind w:left="720"/>
        <w:jc w:val="both"/>
        <w:rPr>
          <w:rFonts w:ascii="ITC New Baskerville Std" w:eastAsia="Times New Roman" w:hAnsi="ITC New Baskerville Std" w:cs="Arial"/>
          <w:sz w:val="16"/>
          <w:szCs w:val="16"/>
          <w:lang w:eastAsia="fr-FR"/>
        </w:rPr>
      </w:pPr>
      <w:r>
        <w:rPr>
          <w:rFonts w:ascii="ITC New Baskerville Std" w:eastAsia="Times New Roman" w:hAnsi="ITC New Baskerville Std" w:cs="Arial"/>
          <w:noProof/>
          <w:sz w:val="16"/>
          <w:szCs w:val="16"/>
          <w:lang w:eastAsia="gl-ES"/>
        </w:rPr>
        <w:pict>
          <v:oval id="_x0000_s1131" style="position:absolute;left:0;text-align:left;margin-left:10.65pt;margin-top:24.05pt;width:16.2pt;height:16.05pt;z-index:252107776;mso-width-relative:margin;mso-height-relative:margin;v-text-anchor:middle" filled="f" strokecolor="windowText">
            <o:lock v:ext="edit" aspectratio="t"/>
            <v:textbox inset="0,0,0,0">
              <w:txbxContent>
                <w:p w:rsidR="00442A24" w:rsidRPr="009977B6" w:rsidRDefault="00442A24" w:rsidP="00442A24">
                  <w:pPr>
                    <w:jc w:val="center"/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ITC New Baskerville Std" w:hAnsi="ITC New Baskerville Std"/>
                      <w:b/>
                      <w:sz w:val="20"/>
                      <w:szCs w:val="20"/>
                      <w:lang w:val="es-ES"/>
                    </w:rPr>
                    <w:t>A</w:t>
                  </w:r>
                </w:p>
              </w:txbxContent>
            </v:textbox>
          </v:oval>
        </w:pict>
      </w:r>
      <w:r w:rsidR="00442A24" w:rsidRPr="00A519E9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Controlar (verificar): realizar o seguimento e a medición dos procesos e dos produtos e servizos respecto ás políticas, aos obxectivos e aos requisitos, </w:t>
      </w:r>
      <w:r w:rsidR="006B4A77">
        <w:rPr>
          <w:rFonts w:ascii="ITC New Baskerville Std" w:eastAsia="Times New Roman" w:hAnsi="ITC New Baskerville Std" w:cs="Arial"/>
          <w:sz w:val="16"/>
          <w:szCs w:val="16"/>
          <w:lang w:eastAsia="fr-FR"/>
        </w:rPr>
        <w:t>á</w:t>
      </w:r>
      <w:r w:rsidR="005C4F35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s </w:t>
      </w:r>
      <w:r w:rsidR="00442A24" w:rsidRPr="00A519E9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necesidades e </w:t>
      </w:r>
      <w:r w:rsidR="006B4A77">
        <w:rPr>
          <w:rFonts w:ascii="ITC New Baskerville Std" w:eastAsia="Times New Roman" w:hAnsi="ITC New Baskerville Std" w:cs="Arial"/>
          <w:sz w:val="16"/>
          <w:szCs w:val="16"/>
          <w:lang w:eastAsia="fr-FR"/>
        </w:rPr>
        <w:t>á</w:t>
      </w:r>
      <w:r w:rsidR="005C4F35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s </w:t>
      </w:r>
      <w:r w:rsidR="00442A24" w:rsidRPr="00A519E9">
        <w:rPr>
          <w:rFonts w:ascii="ITC New Baskerville Std" w:eastAsia="Times New Roman" w:hAnsi="ITC New Baskerville Std" w:cs="Arial"/>
          <w:sz w:val="16"/>
          <w:szCs w:val="16"/>
          <w:lang w:eastAsia="fr-FR"/>
        </w:rPr>
        <w:t>expectativas, e informar dos resultados.</w:t>
      </w:r>
    </w:p>
    <w:p w:rsidR="00442A24" w:rsidRPr="00A519E9" w:rsidRDefault="00442A24" w:rsidP="00177CB6">
      <w:pPr>
        <w:spacing w:after="120"/>
        <w:ind w:left="720"/>
        <w:jc w:val="both"/>
        <w:rPr>
          <w:rFonts w:ascii="ITC New Baskerville Std" w:eastAsia="Times New Roman" w:hAnsi="ITC New Baskerville Std" w:cs="Arial"/>
          <w:sz w:val="16"/>
          <w:szCs w:val="16"/>
          <w:lang w:eastAsia="fr-FR"/>
        </w:rPr>
      </w:pPr>
      <w:r w:rsidRPr="00A519E9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Actuar (aprender): tomar accións para mellorar continuamente o desempeño dos procesos. </w:t>
      </w:r>
    </w:p>
    <w:p w:rsidR="00442A24" w:rsidRPr="00A519E9" w:rsidRDefault="009A0C03" w:rsidP="00177CB6">
      <w:pPr>
        <w:spacing w:after="120"/>
        <w:ind w:left="720"/>
        <w:jc w:val="both"/>
        <w:rPr>
          <w:rFonts w:ascii="ITC New Baskerville Std" w:eastAsia="Times New Roman" w:hAnsi="ITC New Baskerville Std" w:cs="Arial"/>
          <w:sz w:val="16"/>
          <w:szCs w:val="16"/>
          <w:lang w:eastAsia="fr-FR"/>
        </w:rPr>
      </w:pPr>
      <w:r w:rsidRPr="00A519E9">
        <w:rPr>
          <w:rFonts w:ascii="ITC New Baskerville Std" w:eastAsia="Times New Roman" w:hAnsi="ITC New Baskerville Std" w:cs="Arial"/>
          <w:sz w:val="16"/>
          <w:szCs w:val="16"/>
          <w:lang w:eastAsia="fr-FR"/>
        </w:rPr>
        <w:t>(UNE-EN ISO 9001)</w:t>
      </w:r>
    </w:p>
    <w:p w:rsidR="0048755A" w:rsidRPr="00A519E9" w:rsidRDefault="0048755A" w:rsidP="00177CB6">
      <w:pPr>
        <w:spacing w:after="120"/>
        <w:jc w:val="both"/>
        <w:rPr>
          <w:rFonts w:ascii="ITC New Baskerville Std" w:hAnsi="ITC New Baskerville Std"/>
          <w:b/>
        </w:rPr>
      </w:pPr>
    </w:p>
    <w:p w:rsidR="009B1AE4" w:rsidRPr="00A519E9" w:rsidRDefault="009B1AE4" w:rsidP="00177CB6">
      <w:pPr>
        <w:spacing w:after="120"/>
        <w:jc w:val="both"/>
        <w:rPr>
          <w:rFonts w:ascii="ITC New Baskerville Std" w:hAnsi="ITC New Baskerville Std"/>
          <w:b/>
        </w:rPr>
      </w:pPr>
    </w:p>
    <w:p w:rsidR="006A041A" w:rsidRPr="00A519E9" w:rsidRDefault="006A041A" w:rsidP="00177CB6">
      <w:pPr>
        <w:spacing w:after="120"/>
        <w:jc w:val="both"/>
        <w:rPr>
          <w:rFonts w:ascii="ITC New Baskerville Std" w:hAnsi="ITC New Baskerville Std"/>
          <w:b/>
        </w:rPr>
      </w:pPr>
    </w:p>
    <w:p w:rsidR="006A041A" w:rsidRPr="00A519E9" w:rsidRDefault="006A041A" w:rsidP="00177CB6">
      <w:pPr>
        <w:spacing w:after="120"/>
        <w:jc w:val="both"/>
        <w:rPr>
          <w:rFonts w:ascii="ITC New Baskerville Std" w:hAnsi="ITC New Baskerville Std"/>
          <w:b/>
        </w:rPr>
      </w:pPr>
    </w:p>
    <w:p w:rsidR="006A041A" w:rsidRPr="00A519E9" w:rsidRDefault="006A041A" w:rsidP="00177CB6">
      <w:pPr>
        <w:spacing w:after="120"/>
        <w:jc w:val="both"/>
        <w:rPr>
          <w:rFonts w:ascii="ITC New Baskerville Std" w:hAnsi="ITC New Baskerville Std"/>
          <w:b/>
        </w:rPr>
      </w:pPr>
    </w:p>
    <w:p w:rsidR="006A041A" w:rsidRPr="00A519E9" w:rsidRDefault="006A041A" w:rsidP="00177CB6">
      <w:pPr>
        <w:spacing w:after="120"/>
        <w:jc w:val="both"/>
        <w:rPr>
          <w:rFonts w:ascii="ITC New Baskerville Std" w:hAnsi="ITC New Baskerville Std"/>
          <w:b/>
        </w:rPr>
      </w:pPr>
    </w:p>
    <w:p w:rsidR="0048755A" w:rsidRPr="00A519E9" w:rsidRDefault="0048755A" w:rsidP="00177CB6">
      <w:pPr>
        <w:pStyle w:val="EstiloDocumentoSC"/>
        <w:pBdr>
          <w:top w:val="single" w:sz="24" w:space="1" w:color="auto"/>
        </w:pBdr>
        <w:shd w:val="clear" w:color="auto" w:fill="FFFFFF" w:themeFill="background1"/>
        <w:jc w:val="both"/>
        <w:rPr>
          <w:rFonts w:ascii="ITC New Baskerville Std" w:hAnsi="ITC New Baskerville Std"/>
          <w:b w:val="0"/>
          <w:lang w:val="gl-ES"/>
        </w:rPr>
      </w:pPr>
      <w:bookmarkStart w:id="5" w:name="_Toc347908984"/>
      <w:bookmarkStart w:id="6" w:name="_Toc348607833"/>
      <w:r w:rsidRPr="00A519E9">
        <w:rPr>
          <w:rFonts w:ascii="ITC New Baskerville Std" w:hAnsi="ITC New Baskerville Std"/>
          <w:b w:val="0"/>
          <w:lang w:val="gl-ES"/>
        </w:rPr>
        <w:lastRenderedPageBreak/>
        <w:t xml:space="preserve">V </w:t>
      </w:r>
      <w:r w:rsidR="004A24BF" w:rsidRPr="00A519E9">
        <w:rPr>
          <w:rFonts w:ascii="ITC New Baskerville Std" w:hAnsi="ITC New Baskerville Std"/>
          <w:b w:val="0"/>
          <w:lang w:val="gl-ES"/>
        </w:rPr>
        <w:t>ANEXOS</w:t>
      </w:r>
      <w:bookmarkEnd w:id="5"/>
      <w:bookmarkEnd w:id="6"/>
    </w:p>
    <w:p w:rsidR="0048755A" w:rsidRPr="00A519E9" w:rsidRDefault="0048755A" w:rsidP="00177CB6">
      <w:pPr>
        <w:spacing w:after="0" w:line="240" w:lineRule="auto"/>
        <w:jc w:val="both"/>
        <w:rPr>
          <w:rFonts w:ascii="ITC New Baskerville Std" w:hAnsi="ITC New Baskerville Std"/>
          <w:b/>
        </w:rPr>
      </w:pPr>
    </w:p>
    <w:p w:rsidR="00896E1C" w:rsidRPr="00A519E9" w:rsidRDefault="00F9579B" w:rsidP="00896E1C">
      <w:pPr>
        <w:spacing w:after="0" w:line="240" w:lineRule="auto"/>
        <w:rPr>
          <w:rFonts w:ascii="ITC New Baskerville Std" w:eastAsia="Times New Roman" w:hAnsi="ITC New Baskerville Std" w:cs="Arial"/>
          <w:sz w:val="20"/>
          <w:szCs w:val="24"/>
          <w:lang w:eastAsia="fr-FR"/>
        </w:rPr>
      </w:pPr>
      <w:hyperlink r:id="rId27" w:history="1">
        <w:r w:rsidR="00896E1C" w:rsidRPr="00A519E9">
          <w:rPr>
            <w:rFonts w:ascii="ITC New Baskerville Std" w:eastAsia="Times New Roman" w:hAnsi="ITC New Baskerville Std" w:cs="Arial"/>
            <w:sz w:val="20"/>
            <w:szCs w:val="24"/>
            <w:lang w:eastAsia="fr-FR"/>
          </w:rPr>
          <w:t xml:space="preserve">(Non existen) </w:t>
        </w:r>
      </w:hyperlink>
    </w:p>
    <w:p w:rsidR="00896E1C" w:rsidRPr="00A519E9" w:rsidRDefault="00896E1C" w:rsidP="00896E1C">
      <w:pPr>
        <w:spacing w:after="0" w:line="240" w:lineRule="auto"/>
        <w:rPr>
          <w:rFonts w:ascii="ITC New Baskerville Std" w:eastAsia="Times New Roman" w:hAnsi="ITC New Baskerville Std" w:cs="Arial"/>
          <w:sz w:val="20"/>
          <w:szCs w:val="24"/>
          <w:lang w:eastAsia="fr-FR"/>
        </w:rPr>
      </w:pPr>
    </w:p>
    <w:p w:rsidR="00896E1C" w:rsidRPr="00A519E9" w:rsidRDefault="00896E1C" w:rsidP="00896E1C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b/>
          <w:sz w:val="24"/>
          <w:szCs w:val="24"/>
          <w:lang w:eastAsia="fr-FR"/>
        </w:rPr>
      </w:pPr>
      <w:r w:rsidRPr="00A519E9">
        <w:rPr>
          <w:rFonts w:ascii="ITC New Baskerville Std" w:eastAsia="Times New Roman" w:hAnsi="ITC New Baskerville Std" w:cstheme="minorHAnsi"/>
          <w:b/>
          <w:sz w:val="24"/>
          <w:szCs w:val="24"/>
          <w:lang w:eastAsia="fr-FR"/>
        </w:rPr>
        <w:t>Rexistros</w:t>
      </w:r>
    </w:p>
    <w:p w:rsidR="00CF5D6A" w:rsidRPr="00A519E9" w:rsidRDefault="00CF5D6A" w:rsidP="00896E1C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b/>
          <w:sz w:val="24"/>
          <w:szCs w:val="24"/>
          <w:lang w:eastAsia="fr-FR"/>
        </w:rPr>
      </w:pPr>
    </w:p>
    <w:tbl>
      <w:tblPr>
        <w:tblStyle w:val="Sombreadoclaro-nfasis11"/>
        <w:tblW w:w="9498" w:type="dxa"/>
        <w:tblInd w:w="108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993"/>
        <w:gridCol w:w="1417"/>
        <w:gridCol w:w="1559"/>
        <w:gridCol w:w="993"/>
        <w:gridCol w:w="1134"/>
      </w:tblGrid>
      <w:tr w:rsidR="00CF5D6A" w:rsidRPr="00A519E9" w:rsidTr="00F62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2"/>
            <w:tcBorders>
              <w:top w:val="single" w:sz="4" w:space="0" w:color="4BACC6" w:themeColor="accent5"/>
              <w:left w:val="single" w:sz="4" w:space="0" w:color="4BACC6" w:themeColor="accent5"/>
              <w:bottom w:val="nil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:rsidR="00CF5D6A" w:rsidRPr="00A519E9" w:rsidRDefault="00CF5D6A" w:rsidP="00F62623">
            <w:pPr>
              <w:spacing w:line="276" w:lineRule="auto"/>
              <w:jc w:val="center"/>
              <w:rPr>
                <w:rFonts w:ascii="ITC New Baskerville Std" w:hAnsi="ITC New Baskerville Std"/>
                <w:color w:val="auto"/>
                <w:sz w:val="18"/>
                <w:szCs w:val="18"/>
                <w:lang w:val="gl-ES"/>
              </w:rPr>
            </w:pPr>
            <w:r w:rsidRPr="00A519E9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Identificación do rexistro</w:t>
            </w:r>
          </w:p>
        </w:tc>
        <w:tc>
          <w:tcPr>
            <w:tcW w:w="993" w:type="dxa"/>
            <w:vMerge w:val="restart"/>
            <w:tcBorders>
              <w:top w:val="single" w:sz="4" w:space="0" w:color="4BACC6" w:themeColor="accent5"/>
              <w:left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:rsidR="00CF5D6A" w:rsidRPr="00A519E9" w:rsidRDefault="00CF5D6A" w:rsidP="00F6262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</w:pPr>
            <w:r w:rsidRPr="00A519E9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Soporte orixinal</w:t>
            </w:r>
          </w:p>
        </w:tc>
        <w:tc>
          <w:tcPr>
            <w:tcW w:w="1417" w:type="dxa"/>
            <w:vMerge w:val="restart"/>
            <w:tcBorders>
              <w:top w:val="single" w:sz="4" w:space="0" w:color="4BACC6" w:themeColor="accent5"/>
              <w:left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:rsidR="00CF5D6A" w:rsidRPr="00A519E9" w:rsidRDefault="00CF5D6A" w:rsidP="00F626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</w:pPr>
            <w:r w:rsidRPr="00A519E9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¿</w:t>
            </w:r>
            <w:r w:rsidRPr="00A519E9">
              <w:rPr>
                <w:rFonts w:ascii="ITC New Baskerville Std" w:hAnsi="ITC New Baskerville Std"/>
                <w:color w:val="auto"/>
                <w:sz w:val="18"/>
                <w:szCs w:val="18"/>
                <w:lang w:val="gl-ES"/>
              </w:rPr>
              <w:t>Dispoñible na aplicación SGIC-STO?</w:t>
            </w:r>
          </w:p>
        </w:tc>
        <w:tc>
          <w:tcPr>
            <w:tcW w:w="1559" w:type="dxa"/>
            <w:vMerge w:val="restart"/>
            <w:tcBorders>
              <w:top w:val="single" w:sz="4" w:space="0" w:color="4BACC6" w:themeColor="accent5"/>
              <w:left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:rsidR="00CF5D6A" w:rsidRPr="00A519E9" w:rsidRDefault="00CF5D6A" w:rsidP="00F6262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</w:pPr>
            <w:r w:rsidRPr="00A519E9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Responsable de custodia</w:t>
            </w:r>
          </w:p>
          <w:p w:rsidR="00CF5D6A" w:rsidRPr="00A519E9" w:rsidRDefault="00CF5D6A" w:rsidP="00F6262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color w:val="auto"/>
                <w:sz w:val="18"/>
                <w:szCs w:val="18"/>
                <w:lang w:val="gl-ES"/>
              </w:rPr>
            </w:pPr>
            <w:r w:rsidRPr="00A519E9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(órgano / posto)</w:t>
            </w:r>
          </w:p>
        </w:tc>
        <w:tc>
          <w:tcPr>
            <w:tcW w:w="993" w:type="dxa"/>
            <w:vMerge w:val="restart"/>
            <w:tcBorders>
              <w:top w:val="single" w:sz="4" w:space="0" w:color="4BACC6" w:themeColor="accent5"/>
              <w:left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:rsidR="00CF5D6A" w:rsidRPr="00A519E9" w:rsidRDefault="00CF5D6A" w:rsidP="00F6262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</w:pPr>
            <w:r w:rsidRPr="00A519E9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Duración</w:t>
            </w:r>
          </w:p>
        </w:tc>
        <w:tc>
          <w:tcPr>
            <w:tcW w:w="1134" w:type="dxa"/>
            <w:vMerge w:val="restart"/>
            <w:tcBorders>
              <w:top w:val="single" w:sz="4" w:space="0" w:color="4BACC6" w:themeColor="accent5"/>
              <w:left w:val="dotted" w:sz="4" w:space="0" w:color="auto"/>
              <w:right w:val="single" w:sz="4" w:space="0" w:color="4BACC6" w:themeColor="accent5"/>
            </w:tcBorders>
            <w:shd w:val="clear" w:color="auto" w:fill="B8CCE4" w:themeFill="accent1" w:themeFillTint="66"/>
            <w:vAlign w:val="center"/>
          </w:tcPr>
          <w:p w:rsidR="00CF5D6A" w:rsidRPr="00A519E9" w:rsidRDefault="00CF5D6A" w:rsidP="00F6262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</w:pPr>
            <w:r w:rsidRPr="00A519E9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Clasificación</w:t>
            </w:r>
          </w:p>
          <w:p w:rsidR="00CF5D6A" w:rsidRPr="00A519E9" w:rsidRDefault="00CF5D6A" w:rsidP="00F6262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</w:pPr>
            <w:r w:rsidRPr="00A519E9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(*)</w:t>
            </w:r>
          </w:p>
        </w:tc>
      </w:tr>
      <w:tr w:rsidR="00CF5D6A" w:rsidRPr="00A519E9" w:rsidTr="00F62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single" w:sz="4" w:space="0" w:color="4BACC6" w:themeColor="accent5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:rsidR="00CF5D6A" w:rsidRPr="00A519E9" w:rsidRDefault="00CF5D6A" w:rsidP="00F62623">
            <w:pPr>
              <w:spacing w:line="276" w:lineRule="auto"/>
              <w:jc w:val="center"/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</w:pPr>
            <w:r w:rsidRPr="00A519E9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Código</w:t>
            </w:r>
          </w:p>
        </w:tc>
        <w:tc>
          <w:tcPr>
            <w:tcW w:w="2126" w:type="dxa"/>
            <w:tcBorders>
              <w:top w:val="nil"/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:rsidR="00CF5D6A" w:rsidRPr="00A519E9" w:rsidRDefault="00CF5D6A" w:rsidP="00F6262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/>
                <w:bCs/>
                <w:color w:val="auto"/>
                <w:sz w:val="18"/>
                <w:szCs w:val="18"/>
                <w:lang w:val="gl-ES"/>
              </w:rPr>
            </w:pPr>
            <w:r w:rsidRPr="00A519E9">
              <w:rPr>
                <w:rFonts w:ascii="ITC New Baskerville Std" w:hAnsi="ITC New Baskerville Std"/>
                <w:b/>
                <w:color w:val="auto"/>
                <w:sz w:val="18"/>
                <w:szCs w:val="18"/>
                <w:lang w:val="gl-ES"/>
              </w:rPr>
              <w:t>Denominación</w:t>
            </w:r>
          </w:p>
        </w:tc>
        <w:tc>
          <w:tcPr>
            <w:tcW w:w="993" w:type="dxa"/>
            <w:vMerge/>
            <w:tcBorders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:rsidR="00CF5D6A" w:rsidRPr="00A519E9" w:rsidRDefault="00CF5D6A" w:rsidP="00F6262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/>
                <w:bCs/>
                <w:color w:val="auto"/>
                <w:sz w:val="20"/>
                <w:szCs w:val="20"/>
                <w:lang w:val="gl-ES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</w:tcPr>
          <w:p w:rsidR="00CF5D6A" w:rsidRPr="00A519E9" w:rsidRDefault="00CF5D6A" w:rsidP="00F6262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/>
                <w:bCs/>
                <w:color w:val="auto"/>
                <w:sz w:val="20"/>
                <w:szCs w:val="20"/>
                <w:lang w:val="gl-ES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:rsidR="00CF5D6A" w:rsidRPr="00A519E9" w:rsidRDefault="00CF5D6A" w:rsidP="00F6262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/>
                <w:bCs/>
                <w:color w:val="auto"/>
                <w:sz w:val="20"/>
                <w:szCs w:val="20"/>
                <w:lang w:val="gl-ES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</w:tcPr>
          <w:p w:rsidR="00CF5D6A" w:rsidRPr="00A519E9" w:rsidRDefault="00CF5D6A" w:rsidP="00F6262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/>
                <w:color w:val="auto"/>
                <w:sz w:val="20"/>
                <w:szCs w:val="20"/>
                <w:lang w:val="gl-ES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B8CCE4" w:themeFill="accent1" w:themeFillTint="66"/>
            <w:vAlign w:val="center"/>
          </w:tcPr>
          <w:p w:rsidR="00CF5D6A" w:rsidRPr="00A519E9" w:rsidRDefault="00CF5D6A" w:rsidP="00F6262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/>
                <w:color w:val="auto"/>
                <w:sz w:val="20"/>
                <w:szCs w:val="20"/>
                <w:lang w:val="gl-ES"/>
              </w:rPr>
            </w:pPr>
          </w:p>
        </w:tc>
      </w:tr>
      <w:tr w:rsidR="004A490E" w:rsidRPr="00A519E9" w:rsidTr="004A490E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4A490E" w:rsidRPr="00A519E9" w:rsidRDefault="004A490E" w:rsidP="004A490E">
            <w:pPr>
              <w:jc w:val="center"/>
              <w:rPr>
                <w:rFonts w:ascii="ITC New Baskerville Std" w:hAnsi="ITC New Baskerville Std"/>
                <w:b w:val="0"/>
                <w:color w:val="auto"/>
                <w:sz w:val="18"/>
                <w:szCs w:val="18"/>
                <w:lang w:val="gl-ES"/>
              </w:rPr>
            </w:pPr>
            <w:r w:rsidRPr="00A519E9">
              <w:rPr>
                <w:rFonts w:ascii="ITC New Baskerville Std" w:hAnsi="ITC New Baskerville Std"/>
                <w:b w:val="0"/>
                <w:color w:val="auto"/>
                <w:sz w:val="18"/>
                <w:szCs w:val="18"/>
                <w:lang w:val="gl-ES"/>
              </w:rPr>
              <w:t>R1 - DO0205 P1</w:t>
            </w:r>
          </w:p>
        </w:tc>
        <w:tc>
          <w:tcPr>
            <w:tcW w:w="2126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4A490E" w:rsidRPr="00A519E9" w:rsidRDefault="004A490E" w:rsidP="008E3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</w:pPr>
            <w:r w:rsidRPr="00A519E9"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  <w:t>Listado(s) de estudant</w:t>
            </w:r>
            <w:r w:rsidR="008E37CA"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  <w:t>ado propio</w:t>
            </w:r>
            <w:r w:rsidRPr="00A519E9"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  <w:t xml:space="preserve"> seleccionado</w:t>
            </w:r>
          </w:p>
        </w:tc>
        <w:tc>
          <w:tcPr>
            <w:tcW w:w="993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4A490E" w:rsidRPr="00A519E9" w:rsidRDefault="004A490E" w:rsidP="004A490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16"/>
                <w:szCs w:val="16"/>
                <w:lang w:val="gl-ES"/>
              </w:rPr>
            </w:pPr>
            <w:r w:rsidRPr="00A519E9">
              <w:rPr>
                <w:rFonts w:ascii="ITC New Baskerville Std" w:hAnsi="ITC New Baskerville Std"/>
                <w:bCs/>
                <w:color w:val="auto"/>
                <w:sz w:val="16"/>
                <w:szCs w:val="16"/>
                <w:lang w:val="gl-ES"/>
              </w:rPr>
              <w:t>Electrónico</w:t>
            </w:r>
          </w:p>
        </w:tc>
        <w:tc>
          <w:tcPr>
            <w:tcW w:w="1417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4A490E" w:rsidRPr="00A519E9" w:rsidRDefault="004A490E" w:rsidP="004A490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16"/>
                <w:szCs w:val="16"/>
                <w:lang w:val="gl-ES"/>
              </w:rPr>
            </w:pPr>
            <w:r w:rsidRPr="00A519E9">
              <w:rPr>
                <w:rFonts w:ascii="ITC New Baskerville Std" w:hAnsi="ITC New Baskerville Std"/>
                <w:bCs/>
                <w:color w:val="auto"/>
                <w:sz w:val="16"/>
                <w:szCs w:val="16"/>
                <w:lang w:val="gl-ES"/>
              </w:rPr>
              <w:t>Non</w:t>
            </w:r>
          </w:p>
        </w:tc>
        <w:tc>
          <w:tcPr>
            <w:tcW w:w="1559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4A490E" w:rsidRPr="00A519E9" w:rsidRDefault="005C17C7" w:rsidP="004A4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</w:pPr>
            <w:r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  <w:t>Vicerreitoría de Relacións Internacionais</w:t>
            </w:r>
          </w:p>
          <w:p w:rsidR="004A490E" w:rsidRDefault="004A490E" w:rsidP="004A4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</w:pPr>
            <w:r w:rsidRPr="00A519E9"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  <w:t>(mobilidade internacional)</w:t>
            </w:r>
          </w:p>
          <w:p w:rsidR="005C17C7" w:rsidRPr="005C17C7" w:rsidRDefault="005C17C7" w:rsidP="004A4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8"/>
                <w:szCs w:val="8"/>
                <w:lang w:val="gl-ES"/>
              </w:rPr>
            </w:pPr>
          </w:p>
          <w:p w:rsidR="004A490E" w:rsidRPr="00A519E9" w:rsidRDefault="004A490E" w:rsidP="004A4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</w:pPr>
            <w:r w:rsidRPr="00A519E9"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  <w:t>Servizo de Alumnado</w:t>
            </w:r>
          </w:p>
          <w:p w:rsidR="004A490E" w:rsidRPr="00A519E9" w:rsidRDefault="004A490E" w:rsidP="004A4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</w:pPr>
            <w:r w:rsidRPr="00A519E9"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  <w:t>(mobilidade nacional)</w:t>
            </w:r>
          </w:p>
        </w:tc>
        <w:tc>
          <w:tcPr>
            <w:tcW w:w="993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4A490E" w:rsidRPr="00A519E9" w:rsidRDefault="004A490E" w:rsidP="004A490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color w:val="auto"/>
                <w:sz w:val="16"/>
                <w:szCs w:val="16"/>
                <w:lang w:val="gl-ES"/>
              </w:rPr>
            </w:pPr>
            <w:r w:rsidRPr="00A519E9">
              <w:rPr>
                <w:rFonts w:ascii="ITC New Baskerville Std" w:hAnsi="ITC New Baskerville Std"/>
                <w:color w:val="auto"/>
                <w:sz w:val="16"/>
                <w:szCs w:val="16"/>
                <w:lang w:val="gl-ES"/>
              </w:rPr>
              <w:t>6 anos</w:t>
            </w:r>
          </w:p>
        </w:tc>
        <w:tc>
          <w:tcPr>
            <w:tcW w:w="1134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</w:tcBorders>
            <w:vAlign w:val="center"/>
          </w:tcPr>
          <w:p w:rsidR="004A490E" w:rsidRPr="00A519E9" w:rsidRDefault="004A490E" w:rsidP="004A490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color w:val="auto"/>
                <w:sz w:val="16"/>
                <w:szCs w:val="16"/>
                <w:lang w:val="gl-ES"/>
              </w:rPr>
            </w:pPr>
            <w:r w:rsidRPr="00A519E9">
              <w:rPr>
                <w:rFonts w:ascii="ITC New Baskerville Std" w:hAnsi="ITC New Baskerville Std"/>
                <w:color w:val="auto"/>
                <w:sz w:val="16"/>
                <w:szCs w:val="16"/>
                <w:lang w:val="gl-ES"/>
              </w:rPr>
              <w:t>-</w:t>
            </w:r>
          </w:p>
        </w:tc>
      </w:tr>
      <w:tr w:rsidR="004A490E" w:rsidRPr="00A519E9" w:rsidTr="004A4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shd w:val="clear" w:color="auto" w:fill="DBE5F1" w:themeFill="accent1" w:themeFillTint="33"/>
            <w:vAlign w:val="center"/>
          </w:tcPr>
          <w:p w:rsidR="004A490E" w:rsidRPr="00A519E9" w:rsidRDefault="004A490E" w:rsidP="004A490E">
            <w:pPr>
              <w:jc w:val="center"/>
              <w:rPr>
                <w:rFonts w:ascii="ITC New Baskerville Std" w:hAnsi="ITC New Baskerville Std"/>
                <w:b w:val="0"/>
                <w:color w:val="auto"/>
                <w:sz w:val="18"/>
                <w:szCs w:val="18"/>
                <w:lang w:val="gl-ES"/>
              </w:rPr>
            </w:pPr>
            <w:r w:rsidRPr="00A519E9">
              <w:rPr>
                <w:rFonts w:ascii="ITC New Baskerville Std" w:hAnsi="ITC New Baskerville Std"/>
                <w:b w:val="0"/>
                <w:color w:val="auto"/>
                <w:sz w:val="18"/>
                <w:szCs w:val="18"/>
                <w:lang w:val="gl-ES"/>
              </w:rPr>
              <w:t>R2 - DO0205 P1</w:t>
            </w:r>
          </w:p>
        </w:tc>
        <w:tc>
          <w:tcPr>
            <w:tcW w:w="2126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shd w:val="clear" w:color="auto" w:fill="DBE5F1" w:themeFill="accent1" w:themeFillTint="33"/>
            <w:vAlign w:val="center"/>
          </w:tcPr>
          <w:p w:rsidR="004A490E" w:rsidRPr="00A519E9" w:rsidRDefault="004A490E" w:rsidP="008E3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</w:pPr>
            <w:r w:rsidRPr="00A519E9"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  <w:t>Listado(s) de estudant</w:t>
            </w:r>
            <w:r w:rsidR="008E37CA"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  <w:t>ado de mobilidade alleo</w:t>
            </w:r>
          </w:p>
        </w:tc>
        <w:tc>
          <w:tcPr>
            <w:tcW w:w="993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shd w:val="clear" w:color="auto" w:fill="DBE5F1" w:themeFill="accent1" w:themeFillTint="33"/>
            <w:vAlign w:val="center"/>
          </w:tcPr>
          <w:p w:rsidR="004A490E" w:rsidRPr="00A519E9" w:rsidRDefault="004A490E" w:rsidP="004A490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16"/>
                <w:szCs w:val="16"/>
                <w:lang w:val="gl-ES"/>
              </w:rPr>
            </w:pPr>
            <w:r w:rsidRPr="00A519E9">
              <w:rPr>
                <w:rFonts w:ascii="ITC New Baskerville Std" w:hAnsi="ITC New Baskerville Std"/>
                <w:bCs/>
                <w:color w:val="auto"/>
                <w:sz w:val="16"/>
                <w:szCs w:val="16"/>
                <w:lang w:val="gl-ES"/>
              </w:rPr>
              <w:t>Electrónico</w:t>
            </w:r>
          </w:p>
        </w:tc>
        <w:tc>
          <w:tcPr>
            <w:tcW w:w="1417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shd w:val="clear" w:color="auto" w:fill="DBE5F1" w:themeFill="accent1" w:themeFillTint="33"/>
            <w:vAlign w:val="center"/>
          </w:tcPr>
          <w:p w:rsidR="004A490E" w:rsidRPr="00A519E9" w:rsidRDefault="004A490E" w:rsidP="004A490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16"/>
                <w:szCs w:val="16"/>
                <w:lang w:val="gl-ES"/>
              </w:rPr>
            </w:pPr>
            <w:r w:rsidRPr="00A519E9">
              <w:rPr>
                <w:rFonts w:ascii="ITC New Baskerville Std" w:hAnsi="ITC New Baskerville Std"/>
                <w:bCs/>
                <w:color w:val="auto"/>
                <w:sz w:val="16"/>
                <w:szCs w:val="16"/>
                <w:lang w:val="gl-ES"/>
              </w:rPr>
              <w:t>Non</w:t>
            </w:r>
          </w:p>
        </w:tc>
        <w:tc>
          <w:tcPr>
            <w:tcW w:w="1559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shd w:val="clear" w:color="auto" w:fill="DBE5F1" w:themeFill="accent1" w:themeFillTint="33"/>
            <w:vAlign w:val="center"/>
          </w:tcPr>
          <w:p w:rsidR="004A490E" w:rsidRPr="00A519E9" w:rsidRDefault="004A490E" w:rsidP="004A4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</w:pPr>
            <w:r w:rsidRPr="00A519E9"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  <w:t xml:space="preserve">ORI </w:t>
            </w:r>
          </w:p>
          <w:p w:rsidR="004A490E" w:rsidRDefault="004A490E" w:rsidP="004A4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</w:pPr>
            <w:r w:rsidRPr="00A519E9"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  <w:t>(mobilidade internacional)</w:t>
            </w:r>
          </w:p>
          <w:p w:rsidR="005C17C7" w:rsidRPr="005C17C7" w:rsidRDefault="005C17C7" w:rsidP="004A4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8"/>
                <w:szCs w:val="8"/>
                <w:lang w:val="gl-ES"/>
              </w:rPr>
            </w:pPr>
          </w:p>
          <w:p w:rsidR="004A490E" w:rsidRPr="00A519E9" w:rsidRDefault="004A490E" w:rsidP="004A4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</w:pPr>
            <w:r w:rsidRPr="00A519E9"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  <w:t>Servizo de Alumnado</w:t>
            </w:r>
          </w:p>
          <w:p w:rsidR="004A490E" w:rsidRPr="00A519E9" w:rsidRDefault="004A490E" w:rsidP="004A4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</w:pPr>
            <w:r w:rsidRPr="00A519E9"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  <w:t>(mobilidade nacional)</w:t>
            </w:r>
          </w:p>
        </w:tc>
        <w:tc>
          <w:tcPr>
            <w:tcW w:w="993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shd w:val="clear" w:color="auto" w:fill="DBE5F1" w:themeFill="accent1" w:themeFillTint="33"/>
            <w:vAlign w:val="center"/>
          </w:tcPr>
          <w:p w:rsidR="004A490E" w:rsidRPr="00A519E9" w:rsidRDefault="004A490E" w:rsidP="004A490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color w:val="auto"/>
                <w:sz w:val="16"/>
                <w:szCs w:val="16"/>
                <w:lang w:val="gl-ES"/>
              </w:rPr>
            </w:pPr>
            <w:r w:rsidRPr="00A519E9">
              <w:rPr>
                <w:rFonts w:ascii="ITC New Baskerville Std" w:hAnsi="ITC New Baskerville Std"/>
                <w:color w:val="auto"/>
                <w:sz w:val="16"/>
                <w:szCs w:val="16"/>
                <w:lang w:val="gl-ES"/>
              </w:rPr>
              <w:t>6 anos</w:t>
            </w:r>
          </w:p>
        </w:tc>
        <w:tc>
          <w:tcPr>
            <w:tcW w:w="1134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</w:tcBorders>
            <w:shd w:val="clear" w:color="auto" w:fill="DBE5F1" w:themeFill="accent1" w:themeFillTint="33"/>
            <w:vAlign w:val="center"/>
          </w:tcPr>
          <w:p w:rsidR="004A490E" w:rsidRPr="00A519E9" w:rsidRDefault="004A490E" w:rsidP="004A490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color w:val="auto"/>
                <w:sz w:val="16"/>
                <w:szCs w:val="16"/>
                <w:lang w:val="gl-ES"/>
              </w:rPr>
            </w:pPr>
            <w:r w:rsidRPr="00A519E9">
              <w:rPr>
                <w:rFonts w:ascii="ITC New Baskerville Std" w:hAnsi="ITC New Baskerville Std"/>
                <w:color w:val="auto"/>
                <w:sz w:val="16"/>
                <w:szCs w:val="16"/>
                <w:lang w:val="gl-ES"/>
              </w:rPr>
              <w:t>-</w:t>
            </w:r>
          </w:p>
        </w:tc>
      </w:tr>
    </w:tbl>
    <w:p w:rsidR="00CF5D6A" w:rsidRPr="00A519E9" w:rsidRDefault="00CF5D6A" w:rsidP="00896E1C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b/>
          <w:sz w:val="24"/>
          <w:szCs w:val="24"/>
          <w:lang w:eastAsia="fr-FR"/>
        </w:rPr>
      </w:pPr>
    </w:p>
    <w:p w:rsidR="00C02D60" w:rsidRPr="00A519E9" w:rsidRDefault="00CD674F" w:rsidP="00821763">
      <w:pPr>
        <w:spacing w:after="0" w:line="240" w:lineRule="auto"/>
        <w:rPr>
          <w:rFonts w:ascii="ITC New Baskerville Std" w:eastAsia="Times New Roman" w:hAnsi="ITC New Baskerville Std" w:cs="Arial"/>
          <w:sz w:val="20"/>
          <w:szCs w:val="24"/>
          <w:lang w:eastAsia="fr-FR"/>
        </w:rPr>
      </w:pPr>
      <w:r w:rsidRPr="00A519E9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(*) Cúbrase só no caso de que o rexistro estea suxeito a condicións de permanencia adicionais ao período de arquivo de xestión (é dicir, cando é necesaria a súa transferencia posterior ao arquivo xeral).</w:t>
      </w:r>
    </w:p>
    <w:p w:rsidR="00C02D60" w:rsidRPr="00A519E9" w:rsidRDefault="00C02D60" w:rsidP="00821763">
      <w:pPr>
        <w:spacing w:after="0" w:line="240" w:lineRule="auto"/>
        <w:rPr>
          <w:rFonts w:ascii="ITC New Baskerville Std" w:eastAsia="Times New Roman" w:hAnsi="ITC New Baskerville Std" w:cs="Arial"/>
          <w:sz w:val="20"/>
          <w:szCs w:val="24"/>
          <w:lang w:eastAsia="fr-FR"/>
        </w:rPr>
      </w:pPr>
    </w:p>
    <w:p w:rsidR="00C02D60" w:rsidRPr="00A519E9" w:rsidRDefault="00C02D60" w:rsidP="00821763">
      <w:pPr>
        <w:spacing w:after="0" w:line="240" w:lineRule="auto"/>
        <w:rPr>
          <w:rFonts w:ascii="ITC New Baskerville Std" w:eastAsia="Times New Roman" w:hAnsi="ITC New Baskerville Std" w:cs="Arial"/>
          <w:sz w:val="20"/>
          <w:szCs w:val="24"/>
          <w:lang w:eastAsia="fr-FR"/>
        </w:rPr>
      </w:pPr>
    </w:p>
    <w:p w:rsidR="00821763" w:rsidRPr="00A519E9" w:rsidRDefault="00821763" w:rsidP="00821763">
      <w:pPr>
        <w:spacing w:after="0" w:line="240" w:lineRule="auto"/>
        <w:rPr>
          <w:rFonts w:ascii="ITC New Baskerville Std" w:eastAsia="Times New Roman" w:hAnsi="ITC New Baskerville Std" w:cs="Arial"/>
          <w:sz w:val="20"/>
          <w:szCs w:val="24"/>
          <w:lang w:eastAsia="fr-FR"/>
        </w:rPr>
      </w:pPr>
    </w:p>
    <w:p w:rsidR="00821763" w:rsidRPr="00A519E9" w:rsidRDefault="00821763" w:rsidP="00821763">
      <w:pPr>
        <w:spacing w:after="0" w:line="240" w:lineRule="auto"/>
        <w:rPr>
          <w:rFonts w:ascii="ITC New Baskerville Std" w:eastAsia="Times New Roman" w:hAnsi="ITC New Baskerville Std" w:cs="Arial"/>
          <w:sz w:val="20"/>
          <w:szCs w:val="24"/>
          <w:lang w:eastAsia="fr-FR"/>
        </w:rPr>
      </w:pPr>
    </w:p>
    <w:p w:rsidR="00D71D80" w:rsidRPr="00A519E9" w:rsidRDefault="00D71D80" w:rsidP="00821763">
      <w:pPr>
        <w:spacing w:after="0" w:line="240" w:lineRule="auto"/>
        <w:jc w:val="both"/>
        <w:rPr>
          <w:rFonts w:ascii="ITC New Baskerville Std" w:eastAsia="Times New Roman" w:hAnsi="ITC New Baskerville Std" w:cs="Arial"/>
          <w:sz w:val="20"/>
          <w:szCs w:val="24"/>
          <w:lang w:eastAsia="fr-FR"/>
        </w:rPr>
      </w:pPr>
    </w:p>
    <w:sectPr w:rsidR="00D71D80" w:rsidRPr="00A519E9" w:rsidSect="0058229D">
      <w:headerReference w:type="default" r:id="rId28"/>
      <w:footerReference w:type="default" r:id="rId29"/>
      <w:pgSz w:w="11906" w:h="16838" w:code="9"/>
      <w:pgMar w:top="1633" w:right="1134" w:bottom="1701" w:left="1276" w:header="709" w:footer="1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48C" w:rsidRDefault="0007448C" w:rsidP="0098653E">
      <w:pPr>
        <w:spacing w:after="0" w:line="240" w:lineRule="auto"/>
      </w:pPr>
      <w:r>
        <w:separator/>
      </w:r>
    </w:p>
  </w:endnote>
  <w:endnote w:type="continuationSeparator" w:id="0">
    <w:p w:rsidR="0007448C" w:rsidRDefault="0007448C" w:rsidP="0098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3F6" w:rsidRDefault="005C23F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550" w:tblpY="96"/>
      <w:tblW w:w="11023" w:type="dxa"/>
      <w:tblBorders>
        <w:top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5778"/>
      <w:gridCol w:w="1984"/>
      <w:gridCol w:w="1844"/>
      <w:gridCol w:w="1417"/>
    </w:tblGrid>
    <w:tr w:rsidR="00442A24" w:rsidTr="00DD2DFD">
      <w:trPr>
        <w:trHeight w:val="1277"/>
      </w:trPr>
      <w:tc>
        <w:tcPr>
          <w:tcW w:w="5778" w:type="dxa"/>
          <w:shd w:val="clear" w:color="auto" w:fill="auto"/>
        </w:tcPr>
        <w:p w:rsidR="00442A24" w:rsidRDefault="00442A24" w:rsidP="002C469B">
          <w:pPr>
            <w:pStyle w:val="logo"/>
          </w:pPr>
          <w:r>
            <w:rPr>
              <w:noProof/>
              <w:lang w:val="es-ES" w:eastAsia="es-ES"/>
            </w:rPr>
            <w:drawing>
              <wp:inline distT="0" distB="0" distL="0" distR="0" wp14:anchorId="3663E673" wp14:editId="318C9994">
                <wp:extent cx="2468880" cy="436880"/>
                <wp:effectExtent l="25400" t="0" r="0" b="0"/>
                <wp:docPr id="4" name="Imagen 11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888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tcBorders>
            <w:top w:val="single" w:sz="2" w:space="0" w:color="auto"/>
            <w:bottom w:val="single" w:sz="2" w:space="0" w:color="auto"/>
          </w:tcBorders>
        </w:tcPr>
        <w:p w:rsidR="00442A24" w:rsidRPr="000858FD" w:rsidRDefault="00442A24" w:rsidP="002C469B">
          <w:pPr>
            <w:pStyle w:val="NomeCentro"/>
            <w:rPr>
              <w:color w:val="867749"/>
              <w:sz w:val="22"/>
            </w:rPr>
          </w:pPr>
          <w:r w:rsidRPr="000858FD">
            <w:rPr>
              <w:color w:val="867749"/>
              <w:sz w:val="22"/>
            </w:rPr>
            <w:t>Vicerreitoría de</w:t>
          </w:r>
        </w:p>
        <w:p w:rsidR="00442A24" w:rsidRPr="000858FD" w:rsidRDefault="00442A24" w:rsidP="002C469B">
          <w:pPr>
            <w:pStyle w:val="NomeCentro"/>
            <w:rPr>
              <w:color w:val="867749"/>
              <w:sz w:val="22"/>
            </w:rPr>
          </w:pPr>
          <w:r w:rsidRPr="000858FD">
            <w:rPr>
              <w:color w:val="867749"/>
              <w:sz w:val="22"/>
            </w:rPr>
            <w:t xml:space="preserve">Alumnado, Docencia </w:t>
          </w:r>
        </w:p>
        <w:p w:rsidR="00442A24" w:rsidRPr="00163CB3" w:rsidRDefault="00442A24" w:rsidP="002C469B">
          <w:pPr>
            <w:pStyle w:val="NomeCentro"/>
            <w:rPr>
              <w:color w:val="E1752A"/>
              <w:sz w:val="22"/>
            </w:rPr>
          </w:pPr>
          <w:r w:rsidRPr="000858FD">
            <w:rPr>
              <w:color w:val="867749"/>
              <w:sz w:val="22"/>
            </w:rPr>
            <w:t>e Calidade</w:t>
          </w:r>
        </w:p>
      </w:tc>
      <w:tc>
        <w:tcPr>
          <w:tcW w:w="1844" w:type="dxa"/>
          <w:tcBorders>
            <w:top w:val="single" w:sz="2" w:space="0" w:color="auto"/>
            <w:bottom w:val="single" w:sz="2" w:space="0" w:color="auto"/>
          </w:tcBorders>
        </w:tcPr>
        <w:p w:rsidR="00442A24" w:rsidRPr="000128BA" w:rsidRDefault="00442A24" w:rsidP="002C469B">
          <w:pPr>
            <w:pStyle w:val="Enderezo"/>
            <w:ind w:left="0"/>
          </w:pPr>
          <w:r w:rsidRPr="00C63136">
            <w:t xml:space="preserve">Edificio </w:t>
          </w:r>
          <w:r>
            <w:t>Reitoría</w:t>
          </w:r>
          <w:r w:rsidRPr="00C63136">
            <w:br/>
            <w:t xml:space="preserve">Campus </w:t>
          </w:r>
          <w:r>
            <w:t>Universitario</w:t>
          </w:r>
          <w:r w:rsidRPr="00C63136">
            <w:br/>
            <w:t xml:space="preserve">36310 Vigo </w:t>
          </w:r>
          <w:r w:rsidRPr="00C63136">
            <w:br/>
            <w:t>España</w:t>
          </w:r>
        </w:p>
      </w:tc>
      <w:tc>
        <w:tcPr>
          <w:tcW w:w="1417" w:type="dxa"/>
          <w:tcBorders>
            <w:top w:val="single" w:sz="2" w:space="0" w:color="auto"/>
            <w:bottom w:val="single" w:sz="2" w:space="0" w:color="auto"/>
          </w:tcBorders>
        </w:tcPr>
        <w:p w:rsidR="00442A24" w:rsidRDefault="00442A24" w:rsidP="002C469B">
          <w:pPr>
            <w:pStyle w:val="Enderezocomprimido"/>
            <w:rPr>
              <w:spacing w:val="0"/>
            </w:rPr>
          </w:pPr>
          <w:r>
            <w:t>Tel. 986 813 586</w:t>
          </w:r>
          <w:r>
            <w:br/>
            <w:t>Fax 986 813 818</w:t>
          </w:r>
          <w:r w:rsidRPr="000128BA">
            <w:rPr>
              <w:spacing w:val="0"/>
            </w:rPr>
            <w:br/>
          </w:r>
          <w:r>
            <w:rPr>
              <w:spacing w:val="0"/>
            </w:rPr>
            <w:t>vicadc.uvigo.es</w:t>
          </w:r>
        </w:p>
        <w:p w:rsidR="00442A24" w:rsidRPr="00163CB3" w:rsidRDefault="00442A24" w:rsidP="002C469B">
          <w:pPr>
            <w:pStyle w:val="Enderezocomprimido"/>
            <w:rPr>
              <w:color w:val="ED6E00"/>
              <w:spacing w:val="0"/>
            </w:rPr>
          </w:pPr>
        </w:p>
      </w:tc>
    </w:tr>
  </w:tbl>
  <w:p w:rsidR="00442A24" w:rsidRPr="00A12ED1" w:rsidRDefault="00442A24" w:rsidP="006E7D70">
    <w:pPr>
      <w:tabs>
        <w:tab w:val="center" w:pos="4252"/>
        <w:tab w:val="right" w:pos="8504"/>
      </w:tabs>
      <w:spacing w:after="0" w:line="240" w:lineRule="auto"/>
      <w:rPr>
        <w:rFonts w:ascii="Verdana" w:eastAsia="Times New Roman" w:hAnsi="Verdana" w:cs="Times New Roman"/>
        <w:sz w:val="20"/>
        <w:szCs w:val="20"/>
        <w:lang w:val="es-ES" w:eastAsia="es-ES"/>
      </w:rPr>
    </w:pPr>
  </w:p>
  <w:p w:rsidR="00442A24" w:rsidRDefault="00442A2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3F6" w:rsidRDefault="005C23F6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550" w:tblpY="96"/>
      <w:tblW w:w="10881" w:type="dxa"/>
      <w:tblBorders>
        <w:top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8755"/>
      <w:gridCol w:w="2126"/>
    </w:tblGrid>
    <w:tr w:rsidR="002C469B" w:rsidTr="002918D2">
      <w:trPr>
        <w:trHeight w:val="989"/>
      </w:trPr>
      <w:tc>
        <w:tcPr>
          <w:tcW w:w="8755" w:type="dxa"/>
          <w:shd w:val="clear" w:color="auto" w:fill="auto"/>
        </w:tcPr>
        <w:p w:rsidR="002C469B" w:rsidRDefault="002C469B" w:rsidP="002C469B">
          <w:pPr>
            <w:pStyle w:val="logo"/>
            <w:ind w:right="360"/>
          </w:pPr>
          <w:r>
            <w:rPr>
              <w:noProof/>
              <w:lang w:val="es-ES" w:eastAsia="es-ES"/>
            </w:rPr>
            <w:drawing>
              <wp:inline distT="0" distB="0" distL="0" distR="0" wp14:anchorId="3E2926CD" wp14:editId="4BC26136">
                <wp:extent cx="2468880" cy="436880"/>
                <wp:effectExtent l="25400" t="0" r="0" b="0"/>
                <wp:docPr id="11" name="Imagen 2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888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tcBorders>
            <w:top w:val="single" w:sz="2" w:space="0" w:color="auto"/>
            <w:bottom w:val="single" w:sz="2" w:space="0" w:color="auto"/>
          </w:tcBorders>
        </w:tcPr>
        <w:p w:rsidR="002C469B" w:rsidRPr="000858FD" w:rsidRDefault="002C469B" w:rsidP="002918D2">
          <w:pPr>
            <w:pStyle w:val="NomeCentro"/>
            <w:ind w:left="0"/>
            <w:rPr>
              <w:color w:val="867749"/>
              <w:sz w:val="22"/>
            </w:rPr>
          </w:pPr>
          <w:r w:rsidRPr="000858FD">
            <w:rPr>
              <w:color w:val="867749"/>
              <w:sz w:val="22"/>
            </w:rPr>
            <w:t>Vicerreitoría de</w:t>
          </w:r>
        </w:p>
        <w:p w:rsidR="002C469B" w:rsidRPr="000858FD" w:rsidRDefault="002C469B" w:rsidP="002918D2">
          <w:pPr>
            <w:pStyle w:val="NomeCentro"/>
            <w:ind w:left="0"/>
            <w:rPr>
              <w:color w:val="867749"/>
              <w:sz w:val="22"/>
            </w:rPr>
          </w:pPr>
          <w:r w:rsidRPr="000858FD">
            <w:rPr>
              <w:color w:val="867749"/>
              <w:sz w:val="22"/>
            </w:rPr>
            <w:t xml:space="preserve">Alumnado, Docencia </w:t>
          </w:r>
        </w:p>
        <w:p w:rsidR="002C469B" w:rsidRPr="00163CB3" w:rsidRDefault="002C469B" w:rsidP="002918D2">
          <w:pPr>
            <w:pStyle w:val="NomeCentro"/>
            <w:ind w:left="0"/>
            <w:rPr>
              <w:color w:val="E1752A"/>
              <w:sz w:val="22"/>
            </w:rPr>
          </w:pPr>
          <w:r w:rsidRPr="000858FD">
            <w:rPr>
              <w:color w:val="867749"/>
              <w:sz w:val="22"/>
            </w:rPr>
            <w:t>e Calidade</w:t>
          </w:r>
        </w:p>
      </w:tc>
    </w:tr>
    <w:tr w:rsidR="00372696" w:rsidTr="002918D2">
      <w:trPr>
        <w:trHeight w:val="973"/>
      </w:trPr>
      <w:tc>
        <w:tcPr>
          <w:tcW w:w="8755" w:type="dxa"/>
          <w:shd w:val="clear" w:color="auto" w:fill="auto"/>
        </w:tcPr>
        <w:p w:rsidR="00372696" w:rsidRPr="002918D2" w:rsidRDefault="00372696" w:rsidP="002918D2">
          <w:pPr>
            <w:tabs>
              <w:tab w:val="left" w:pos="1093"/>
            </w:tabs>
          </w:pPr>
        </w:p>
      </w:tc>
      <w:tc>
        <w:tcPr>
          <w:tcW w:w="2126" w:type="dxa"/>
          <w:tcBorders>
            <w:top w:val="single" w:sz="2" w:space="0" w:color="auto"/>
            <w:bottom w:val="nil"/>
          </w:tcBorders>
        </w:tcPr>
        <w:p w:rsidR="00372696" w:rsidRPr="00163CB3" w:rsidRDefault="00372696" w:rsidP="002918D2">
          <w:pPr>
            <w:pStyle w:val="NomeCentro"/>
            <w:ind w:left="0"/>
            <w:rPr>
              <w:color w:val="E1752A"/>
              <w:sz w:val="22"/>
            </w:rPr>
          </w:pPr>
        </w:p>
      </w:tc>
    </w:tr>
  </w:tbl>
  <w:p w:rsidR="002C469B" w:rsidRPr="00A12ED1" w:rsidRDefault="002C469B" w:rsidP="00372696">
    <w:pPr>
      <w:tabs>
        <w:tab w:val="center" w:pos="4252"/>
        <w:tab w:val="right" w:pos="8504"/>
      </w:tabs>
      <w:spacing w:after="0" w:line="240" w:lineRule="auto"/>
      <w:rPr>
        <w:rFonts w:ascii="Verdana" w:eastAsia="Times New Roman" w:hAnsi="Verdana" w:cs="Times New Roman"/>
        <w:b/>
        <w:color w:val="00B0F0"/>
        <w:sz w:val="20"/>
        <w:szCs w:val="20"/>
        <w:lang w:val="es-ES" w:eastAsia="es-ES"/>
      </w:rPr>
    </w:pPr>
    <w:r w:rsidRPr="00A12ED1">
      <w:rPr>
        <w:rFonts w:ascii="Verdana" w:eastAsia="Times New Roman" w:hAnsi="Verdana" w:cs="Times New Roman"/>
        <w:sz w:val="20"/>
        <w:szCs w:val="20"/>
        <w:lang w:val="es-ES" w:eastAsia="es-ES"/>
      </w:rPr>
      <w:tab/>
    </w:r>
    <w:r>
      <w:rPr>
        <w:rFonts w:eastAsia="Times New Roman" w:cstheme="minorHAnsi"/>
        <w:sz w:val="16"/>
        <w:szCs w:val="16"/>
        <w:lang w:val="es-ES" w:eastAsia="es-ES"/>
      </w:rPr>
      <w:t xml:space="preserve"> </w:t>
    </w:r>
  </w:p>
  <w:p w:rsidR="002C469B" w:rsidRPr="005D4365" w:rsidRDefault="002C469B" w:rsidP="002C469B">
    <w:pPr>
      <w:pStyle w:val="Piedepgina"/>
      <w:jc w:val="center"/>
      <w:rPr>
        <w:rFonts w:cstheme="minorHAnsi"/>
        <w:sz w:val="16"/>
        <w:szCs w:val="16"/>
      </w:rPr>
    </w:pPr>
  </w:p>
  <w:p w:rsidR="00410F80" w:rsidRPr="002C469B" w:rsidRDefault="00410F80" w:rsidP="002C46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48C" w:rsidRDefault="0007448C" w:rsidP="0098653E">
      <w:pPr>
        <w:spacing w:after="0" w:line="240" w:lineRule="auto"/>
      </w:pPr>
      <w:r>
        <w:separator/>
      </w:r>
    </w:p>
  </w:footnote>
  <w:footnote w:type="continuationSeparator" w:id="0">
    <w:p w:rsidR="0007448C" w:rsidRDefault="0007448C" w:rsidP="00986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3F6" w:rsidRDefault="005C23F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24" w:rsidRPr="009D343B" w:rsidRDefault="00442A24">
    <w:pPr>
      <w:pStyle w:val="Encabezado"/>
      <w:rPr>
        <w:b/>
        <w:color w:val="00B0F0"/>
        <w:lang w:val="es-ES"/>
      </w:rPr>
    </w:pPr>
    <w:r>
      <w:rPr>
        <w:lang w:val="es-ES"/>
      </w:rPr>
      <w:tab/>
    </w:r>
    <w:r>
      <w:rPr>
        <w:lang w:val="es-E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3F6" w:rsidRDefault="005C23F6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24" w:rsidRPr="00094E2D" w:rsidRDefault="00442A24" w:rsidP="00442A24">
    <w:pPr>
      <w:pBdr>
        <w:top w:val="single" w:sz="8" w:space="1" w:color="auto"/>
      </w:pBdr>
      <w:tabs>
        <w:tab w:val="center" w:pos="4252"/>
        <w:tab w:val="right" w:pos="9781"/>
      </w:tabs>
      <w:spacing w:after="0" w:line="360" w:lineRule="auto"/>
      <w:ind w:left="-709" w:right="-284"/>
      <w:rPr>
        <w:rFonts w:ascii="ITC New Baskerville Std" w:hAnsi="ITC New Baskerville Std"/>
        <w:sz w:val="18"/>
      </w:rPr>
    </w:pPr>
    <w:r w:rsidRPr="00094E2D">
      <w:rPr>
        <w:rFonts w:ascii="ITC New Baskerville Std" w:hAnsi="ITC New Baskerville Std"/>
        <w:sz w:val="18"/>
      </w:rPr>
      <w:t xml:space="preserve">PROCEDEMENTO </w:t>
    </w:r>
    <w:r w:rsidR="002A5F8D">
      <w:rPr>
        <w:rFonts w:ascii="ITC New Baskerville Std" w:hAnsi="ITC New Baskerville Std"/>
      </w:rPr>
      <w:t>Xestión da</w:t>
    </w:r>
    <w:r w:rsidR="00492191">
      <w:rPr>
        <w:rFonts w:ascii="ITC New Baskerville Std" w:hAnsi="ITC New Baskerville Std"/>
      </w:rPr>
      <w:t xml:space="preserve"> mobilidade</w:t>
    </w:r>
    <w:r w:rsidRPr="00094E2D">
      <w:rPr>
        <w:rFonts w:ascii="ITC New Baskerville Std" w:hAnsi="ITC New Baskerville Std"/>
        <w:sz w:val="18"/>
      </w:rPr>
      <w:t xml:space="preserve">    </w:t>
    </w:r>
    <w:r w:rsidRPr="00094E2D">
      <w:rPr>
        <w:rFonts w:ascii="ITC New Baskerville Std" w:hAnsi="ITC New Baskerville Std"/>
        <w:sz w:val="18"/>
      </w:rPr>
      <w:tab/>
      <w:t xml:space="preserve">           </w:t>
    </w:r>
    <w:r w:rsidR="00492191">
      <w:rPr>
        <w:rFonts w:ascii="ITC New Baskerville Std" w:hAnsi="ITC New Baskerville Std"/>
        <w:sz w:val="18"/>
      </w:rPr>
      <w:tab/>
    </w:r>
    <w:r w:rsidRPr="00094E2D">
      <w:rPr>
        <w:rFonts w:ascii="ITC New Baskerville Std" w:hAnsi="ITC New Baskerville Std"/>
        <w:sz w:val="18"/>
      </w:rPr>
      <w:t xml:space="preserve"> </w:t>
    </w:r>
    <w:r w:rsidR="00744618">
      <w:rPr>
        <w:rFonts w:ascii="ITC New Baskerville Std" w:eastAsia="Times New Roman" w:hAnsi="ITC New Baskerville Std" w:cs="Times New Roman"/>
        <w:b/>
        <w:sz w:val="18"/>
        <w:szCs w:val="20"/>
        <w:lang w:eastAsia="es-ES"/>
      </w:rPr>
      <w:t>DO</w:t>
    </w:r>
    <w:r w:rsidRPr="00094E2D">
      <w:rPr>
        <w:rFonts w:ascii="ITC New Baskerville Std" w:eastAsia="Times New Roman" w:hAnsi="ITC New Baskerville Std" w:cs="Times New Roman"/>
        <w:b/>
        <w:sz w:val="18"/>
        <w:szCs w:val="20"/>
        <w:lang w:eastAsia="es-ES"/>
      </w:rPr>
      <w:t>-0</w:t>
    </w:r>
    <w:r w:rsidR="00CF5D6A">
      <w:rPr>
        <w:rFonts w:ascii="ITC New Baskerville Std" w:eastAsia="Times New Roman" w:hAnsi="ITC New Baskerville Std" w:cs="Times New Roman"/>
        <w:b/>
        <w:sz w:val="18"/>
        <w:szCs w:val="20"/>
        <w:lang w:eastAsia="es-ES"/>
      </w:rPr>
      <w:t>20</w:t>
    </w:r>
    <w:r w:rsidR="00492191">
      <w:rPr>
        <w:rFonts w:ascii="ITC New Baskerville Std" w:eastAsia="Times New Roman" w:hAnsi="ITC New Baskerville Std" w:cs="Times New Roman"/>
        <w:b/>
        <w:sz w:val="18"/>
        <w:szCs w:val="20"/>
        <w:lang w:eastAsia="es-ES"/>
      </w:rPr>
      <w:t>5</w:t>
    </w:r>
    <w:r w:rsidRPr="00094E2D">
      <w:rPr>
        <w:rFonts w:ascii="ITC New Baskerville Std" w:eastAsia="Times New Roman" w:hAnsi="ITC New Baskerville Std" w:cs="Times New Roman"/>
        <w:b/>
        <w:sz w:val="18"/>
        <w:szCs w:val="20"/>
        <w:lang w:eastAsia="es-ES"/>
      </w:rPr>
      <w:t xml:space="preserve"> P1</w:t>
    </w:r>
  </w:p>
  <w:p w:rsidR="00442A24" w:rsidRPr="00DD2DFD" w:rsidRDefault="00442A24" w:rsidP="00442A24">
    <w:pPr>
      <w:framePr w:w="1075" w:wrap="around" w:vAnchor="text" w:hAnchor="page" w:x="9904" w:y="1"/>
      <w:tabs>
        <w:tab w:val="center" w:pos="4252"/>
        <w:tab w:val="right" w:pos="8504"/>
      </w:tabs>
      <w:spacing w:after="0" w:line="240" w:lineRule="auto"/>
      <w:rPr>
        <w:rFonts w:ascii="ITC New Baskerville Std" w:hAnsi="ITC New Baskerville Std"/>
        <w:sz w:val="16"/>
        <w:szCs w:val="16"/>
      </w:rPr>
    </w:pPr>
    <w:r w:rsidRPr="00DD2DFD">
      <w:rPr>
        <w:rFonts w:ascii="ITC New Baskerville Std" w:hAnsi="ITC New Baskerville Std"/>
        <w:sz w:val="16"/>
        <w:szCs w:val="16"/>
      </w:rPr>
      <w:t xml:space="preserve">Páxina </w:t>
    </w:r>
    <w:r w:rsidRPr="00DD2DFD">
      <w:rPr>
        <w:rFonts w:ascii="ITC New Baskerville Std" w:hAnsi="ITC New Baskerville Std"/>
        <w:sz w:val="16"/>
        <w:szCs w:val="16"/>
      </w:rPr>
      <w:fldChar w:fldCharType="begin"/>
    </w:r>
    <w:r w:rsidRPr="00DD2DFD">
      <w:rPr>
        <w:rFonts w:ascii="ITC New Baskerville Std" w:hAnsi="ITC New Baskerville Std"/>
        <w:sz w:val="16"/>
        <w:szCs w:val="16"/>
      </w:rPr>
      <w:instrText xml:space="preserve">PAGE  </w:instrText>
    </w:r>
    <w:r w:rsidRPr="00DD2DFD">
      <w:rPr>
        <w:rFonts w:ascii="ITC New Baskerville Std" w:hAnsi="ITC New Baskerville Std"/>
        <w:sz w:val="16"/>
        <w:szCs w:val="16"/>
      </w:rPr>
      <w:fldChar w:fldCharType="separate"/>
    </w:r>
    <w:r w:rsidR="00F9579B">
      <w:rPr>
        <w:rFonts w:ascii="ITC New Baskerville Std" w:hAnsi="ITC New Baskerville Std"/>
        <w:noProof/>
        <w:sz w:val="16"/>
        <w:szCs w:val="16"/>
      </w:rPr>
      <w:t>11</w:t>
    </w:r>
    <w:r w:rsidRPr="00DD2DFD">
      <w:rPr>
        <w:rFonts w:ascii="ITC New Baskerville Std" w:hAnsi="ITC New Baskerville Std"/>
        <w:sz w:val="16"/>
        <w:szCs w:val="16"/>
      </w:rPr>
      <w:fldChar w:fldCharType="end"/>
    </w:r>
    <w:r w:rsidRPr="00DD2DFD">
      <w:rPr>
        <w:rFonts w:ascii="ITC New Baskerville Std" w:hAnsi="ITC New Baskerville Std"/>
        <w:sz w:val="16"/>
        <w:szCs w:val="16"/>
      </w:rPr>
      <w:t xml:space="preserve"> de </w:t>
    </w:r>
    <w:r w:rsidR="00193623">
      <w:rPr>
        <w:rFonts w:ascii="ITC New Baskerville Std" w:hAnsi="ITC New Baskerville Std"/>
        <w:sz w:val="16"/>
        <w:szCs w:val="16"/>
      </w:rPr>
      <w:t>11</w:t>
    </w:r>
  </w:p>
  <w:p w:rsidR="00442A24" w:rsidRPr="00442A24" w:rsidRDefault="00442A24" w:rsidP="00442A24">
    <w:pPr>
      <w:tabs>
        <w:tab w:val="center" w:pos="4252"/>
        <w:tab w:val="right" w:pos="8504"/>
      </w:tabs>
      <w:spacing w:after="0" w:line="360" w:lineRule="auto"/>
      <w:ind w:left="-709"/>
      <w:rPr>
        <w:rFonts w:ascii="ITC New Baskerville Std" w:hAnsi="ITC New Baskerville Std"/>
        <w:i/>
        <w:lang w:val="es-ES"/>
      </w:rPr>
    </w:pPr>
    <w:r w:rsidRPr="00442A24">
      <w:rPr>
        <w:rFonts w:ascii="ITC New Baskerville Std" w:eastAsia="Times New Roman" w:hAnsi="ITC New Baskerville Std" w:cs="Times New Roman"/>
        <w:sz w:val="18"/>
        <w:szCs w:val="20"/>
        <w:lang w:val="es-ES" w:eastAsia="es-ES"/>
      </w:rPr>
      <w:t>Índice</w:t>
    </w:r>
    <w:r w:rsidRPr="00442A24">
      <w:rPr>
        <w:rFonts w:ascii="ITC New Baskerville Std" w:eastAsia="Times New Roman" w:hAnsi="ITC New Baskerville Std" w:cs="Times New Roman"/>
        <w:b/>
        <w:sz w:val="18"/>
        <w:szCs w:val="20"/>
        <w:lang w:val="es-ES" w:eastAsia="es-ES"/>
      </w:rPr>
      <w:t xml:space="preserve"> 0</w:t>
    </w:r>
    <w:r w:rsidR="00744618">
      <w:rPr>
        <w:rFonts w:ascii="ITC New Baskerville Std" w:eastAsia="Times New Roman" w:hAnsi="ITC New Baskerville Std" w:cs="Times New Roman"/>
        <w:b/>
        <w:sz w:val="18"/>
        <w:szCs w:val="20"/>
        <w:lang w:val="es-ES" w:eastAsia="es-ES"/>
      </w:rPr>
      <w:t>4</w:t>
    </w:r>
  </w:p>
  <w:p w:rsidR="00410F80" w:rsidRPr="009D343B" w:rsidRDefault="00410F80" w:rsidP="002918D2">
    <w:pPr>
      <w:pStyle w:val="Encabezado"/>
      <w:spacing w:line="360" w:lineRule="auto"/>
      <w:rPr>
        <w:b/>
        <w:color w:val="00B0F0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653CD"/>
    <w:multiLevelType w:val="hybridMultilevel"/>
    <w:tmpl w:val="3DEE2A36"/>
    <w:lvl w:ilvl="0" w:tplc="8ABA70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962B3"/>
    <w:multiLevelType w:val="hybridMultilevel"/>
    <w:tmpl w:val="77F21096"/>
    <w:lvl w:ilvl="0" w:tplc="A04CF3E6">
      <w:start w:val="1"/>
      <w:numFmt w:val="decimal"/>
      <w:pStyle w:val="Estilo5"/>
      <w:lvlText w:val="III.%1."/>
      <w:lvlJc w:val="left"/>
      <w:pPr>
        <w:ind w:left="3060" w:hanging="360"/>
      </w:pPr>
      <w:rPr>
        <w:rFonts w:eastAsiaTheme="minorHAnsi" w:cstheme="minorBidi" w:hint="default"/>
        <w:i w:val="0"/>
        <w:sz w:val="24"/>
      </w:rPr>
    </w:lvl>
    <w:lvl w:ilvl="1" w:tplc="04560019">
      <w:start w:val="1"/>
      <w:numFmt w:val="lowerLetter"/>
      <w:lvlText w:val="%2."/>
      <w:lvlJc w:val="left"/>
      <w:pPr>
        <w:ind w:left="3780" w:hanging="360"/>
      </w:pPr>
    </w:lvl>
    <w:lvl w:ilvl="2" w:tplc="0456001B" w:tentative="1">
      <w:start w:val="1"/>
      <w:numFmt w:val="lowerRoman"/>
      <w:lvlText w:val="%3."/>
      <w:lvlJc w:val="right"/>
      <w:pPr>
        <w:ind w:left="4500" w:hanging="180"/>
      </w:pPr>
    </w:lvl>
    <w:lvl w:ilvl="3" w:tplc="0456000F" w:tentative="1">
      <w:start w:val="1"/>
      <w:numFmt w:val="decimal"/>
      <w:lvlText w:val="%4."/>
      <w:lvlJc w:val="left"/>
      <w:pPr>
        <w:ind w:left="5220" w:hanging="360"/>
      </w:pPr>
    </w:lvl>
    <w:lvl w:ilvl="4" w:tplc="04560019" w:tentative="1">
      <w:start w:val="1"/>
      <w:numFmt w:val="lowerLetter"/>
      <w:lvlText w:val="%5."/>
      <w:lvlJc w:val="left"/>
      <w:pPr>
        <w:ind w:left="5940" w:hanging="360"/>
      </w:pPr>
    </w:lvl>
    <w:lvl w:ilvl="5" w:tplc="0456001B" w:tentative="1">
      <w:start w:val="1"/>
      <w:numFmt w:val="lowerRoman"/>
      <w:lvlText w:val="%6."/>
      <w:lvlJc w:val="right"/>
      <w:pPr>
        <w:ind w:left="6660" w:hanging="180"/>
      </w:pPr>
    </w:lvl>
    <w:lvl w:ilvl="6" w:tplc="0456000F" w:tentative="1">
      <w:start w:val="1"/>
      <w:numFmt w:val="decimal"/>
      <w:lvlText w:val="%7."/>
      <w:lvlJc w:val="left"/>
      <w:pPr>
        <w:ind w:left="7380" w:hanging="360"/>
      </w:pPr>
    </w:lvl>
    <w:lvl w:ilvl="7" w:tplc="04560019" w:tentative="1">
      <w:start w:val="1"/>
      <w:numFmt w:val="lowerLetter"/>
      <w:lvlText w:val="%8."/>
      <w:lvlJc w:val="left"/>
      <w:pPr>
        <w:ind w:left="8100" w:hanging="360"/>
      </w:pPr>
    </w:lvl>
    <w:lvl w:ilvl="8" w:tplc="0456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>
    <w:nsid w:val="0B4F0710"/>
    <w:multiLevelType w:val="hybridMultilevel"/>
    <w:tmpl w:val="3FC6F144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A6FC1"/>
    <w:multiLevelType w:val="hybridMultilevel"/>
    <w:tmpl w:val="7D3E1652"/>
    <w:lvl w:ilvl="0" w:tplc="045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1F934B0"/>
    <w:multiLevelType w:val="hybridMultilevel"/>
    <w:tmpl w:val="2106496E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F4EDF"/>
    <w:multiLevelType w:val="hybridMultilevel"/>
    <w:tmpl w:val="339405F8"/>
    <w:lvl w:ilvl="0" w:tplc="0456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D0930"/>
    <w:multiLevelType w:val="hybridMultilevel"/>
    <w:tmpl w:val="42EA8A18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007B3"/>
    <w:multiLevelType w:val="hybridMultilevel"/>
    <w:tmpl w:val="E7B2489E"/>
    <w:lvl w:ilvl="0" w:tplc="10FA92C4">
      <w:start w:val="1"/>
      <w:numFmt w:val="decimal"/>
      <w:lvlText w:val="IV.4.%1."/>
      <w:lvlJc w:val="left"/>
      <w:pPr>
        <w:ind w:left="76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796" w:hanging="360"/>
      </w:pPr>
    </w:lvl>
    <w:lvl w:ilvl="2" w:tplc="0456001B" w:tentative="1">
      <w:start w:val="1"/>
      <w:numFmt w:val="lowerRoman"/>
      <w:lvlText w:val="%3."/>
      <w:lvlJc w:val="right"/>
      <w:pPr>
        <w:ind w:left="1516" w:hanging="180"/>
      </w:pPr>
    </w:lvl>
    <w:lvl w:ilvl="3" w:tplc="0456000F" w:tentative="1">
      <w:start w:val="1"/>
      <w:numFmt w:val="decimal"/>
      <w:lvlText w:val="%4."/>
      <w:lvlJc w:val="left"/>
      <w:pPr>
        <w:ind w:left="2236" w:hanging="360"/>
      </w:pPr>
    </w:lvl>
    <w:lvl w:ilvl="4" w:tplc="04560019" w:tentative="1">
      <w:start w:val="1"/>
      <w:numFmt w:val="lowerLetter"/>
      <w:lvlText w:val="%5."/>
      <w:lvlJc w:val="left"/>
      <w:pPr>
        <w:ind w:left="2956" w:hanging="360"/>
      </w:pPr>
    </w:lvl>
    <w:lvl w:ilvl="5" w:tplc="0456001B" w:tentative="1">
      <w:start w:val="1"/>
      <w:numFmt w:val="lowerRoman"/>
      <w:lvlText w:val="%6."/>
      <w:lvlJc w:val="right"/>
      <w:pPr>
        <w:ind w:left="3676" w:hanging="180"/>
      </w:pPr>
    </w:lvl>
    <w:lvl w:ilvl="6" w:tplc="0456000F" w:tentative="1">
      <w:start w:val="1"/>
      <w:numFmt w:val="decimal"/>
      <w:lvlText w:val="%7."/>
      <w:lvlJc w:val="left"/>
      <w:pPr>
        <w:ind w:left="4396" w:hanging="360"/>
      </w:pPr>
    </w:lvl>
    <w:lvl w:ilvl="7" w:tplc="04560019" w:tentative="1">
      <w:start w:val="1"/>
      <w:numFmt w:val="lowerLetter"/>
      <w:lvlText w:val="%8."/>
      <w:lvlJc w:val="left"/>
      <w:pPr>
        <w:ind w:left="5116" w:hanging="360"/>
      </w:pPr>
    </w:lvl>
    <w:lvl w:ilvl="8" w:tplc="045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4EFF6108"/>
    <w:multiLevelType w:val="hybridMultilevel"/>
    <w:tmpl w:val="7638CF0C"/>
    <w:lvl w:ilvl="0" w:tplc="307EC086">
      <w:start w:val="6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50FB4"/>
    <w:multiLevelType w:val="hybridMultilevel"/>
    <w:tmpl w:val="51F0BD82"/>
    <w:lvl w:ilvl="0" w:tplc="045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05545DF"/>
    <w:multiLevelType w:val="hybridMultilevel"/>
    <w:tmpl w:val="7FC05230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0754D9"/>
    <w:multiLevelType w:val="hybridMultilevel"/>
    <w:tmpl w:val="8B68B4C2"/>
    <w:lvl w:ilvl="0" w:tplc="045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34B441C"/>
    <w:multiLevelType w:val="hybridMultilevel"/>
    <w:tmpl w:val="339405F8"/>
    <w:lvl w:ilvl="0" w:tplc="0456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A5309"/>
    <w:multiLevelType w:val="hybridMultilevel"/>
    <w:tmpl w:val="7460E6A8"/>
    <w:lvl w:ilvl="0" w:tplc="D76CCA40">
      <w:start w:val="1"/>
      <w:numFmt w:val="decimal"/>
      <w:lvlText w:val="IV.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3"/>
  </w:num>
  <w:num w:numId="5">
    <w:abstractNumId w:val="11"/>
  </w:num>
  <w:num w:numId="6">
    <w:abstractNumId w:val="10"/>
  </w:num>
  <w:num w:numId="7">
    <w:abstractNumId w:val="2"/>
  </w:num>
  <w:num w:numId="8">
    <w:abstractNumId w:val="8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4"/>
  </w:num>
  <w:num w:numId="1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20"/>
  <w:hyphenationZone w:val="425"/>
  <w:characterSpacingControl w:val="doNotCompress"/>
  <w:hdrShapeDefaults>
    <o:shapedefaults v:ext="edit" spidmax="68609" style="mso-width-relative:margin;mso-height-relative:margin;v-text-anchor:middle" fill="f" fillcolor="white" strokecolor="windowText">
      <v:fill color="white" on="f"/>
      <v:stroke color="windowTex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53E"/>
    <w:rsid w:val="0000030D"/>
    <w:rsid w:val="0000155F"/>
    <w:rsid w:val="00002E0C"/>
    <w:rsid w:val="000116F8"/>
    <w:rsid w:val="00011C20"/>
    <w:rsid w:val="00021DF7"/>
    <w:rsid w:val="00025ACB"/>
    <w:rsid w:val="00027F13"/>
    <w:rsid w:val="00033EE8"/>
    <w:rsid w:val="0003412F"/>
    <w:rsid w:val="000344F3"/>
    <w:rsid w:val="00034602"/>
    <w:rsid w:val="00042979"/>
    <w:rsid w:val="0004660E"/>
    <w:rsid w:val="00050B2D"/>
    <w:rsid w:val="00051B39"/>
    <w:rsid w:val="00052879"/>
    <w:rsid w:val="00065A52"/>
    <w:rsid w:val="00072916"/>
    <w:rsid w:val="00073934"/>
    <w:rsid w:val="0007448C"/>
    <w:rsid w:val="00075966"/>
    <w:rsid w:val="00076982"/>
    <w:rsid w:val="000846D5"/>
    <w:rsid w:val="000874E8"/>
    <w:rsid w:val="000913FE"/>
    <w:rsid w:val="0009151A"/>
    <w:rsid w:val="00091BA8"/>
    <w:rsid w:val="00092B72"/>
    <w:rsid w:val="000933A2"/>
    <w:rsid w:val="00094E2D"/>
    <w:rsid w:val="000960D5"/>
    <w:rsid w:val="000A1819"/>
    <w:rsid w:val="000B3F1B"/>
    <w:rsid w:val="000B4D61"/>
    <w:rsid w:val="000B4EAC"/>
    <w:rsid w:val="000B7DD2"/>
    <w:rsid w:val="000C0D32"/>
    <w:rsid w:val="000C1203"/>
    <w:rsid w:val="000C3FD4"/>
    <w:rsid w:val="000C4D1E"/>
    <w:rsid w:val="000D0D9D"/>
    <w:rsid w:val="000D332A"/>
    <w:rsid w:val="000D5995"/>
    <w:rsid w:val="000D6BC2"/>
    <w:rsid w:val="000D71D8"/>
    <w:rsid w:val="000D7731"/>
    <w:rsid w:val="000E2C12"/>
    <w:rsid w:val="000E5194"/>
    <w:rsid w:val="000E62D1"/>
    <w:rsid w:val="000F13B3"/>
    <w:rsid w:val="000F161F"/>
    <w:rsid w:val="000F19D6"/>
    <w:rsid w:val="000F72EF"/>
    <w:rsid w:val="00100A8B"/>
    <w:rsid w:val="00101451"/>
    <w:rsid w:val="0010225C"/>
    <w:rsid w:val="00112F70"/>
    <w:rsid w:val="001147C1"/>
    <w:rsid w:val="00116CB2"/>
    <w:rsid w:val="00117CD0"/>
    <w:rsid w:val="001259BC"/>
    <w:rsid w:val="0012774A"/>
    <w:rsid w:val="00134292"/>
    <w:rsid w:val="001361F9"/>
    <w:rsid w:val="00136C43"/>
    <w:rsid w:val="00142746"/>
    <w:rsid w:val="00142783"/>
    <w:rsid w:val="001467DF"/>
    <w:rsid w:val="00146A37"/>
    <w:rsid w:val="00157A63"/>
    <w:rsid w:val="00160A33"/>
    <w:rsid w:val="00160BBB"/>
    <w:rsid w:val="00161DF5"/>
    <w:rsid w:val="00163CB3"/>
    <w:rsid w:val="00165EC2"/>
    <w:rsid w:val="00167E21"/>
    <w:rsid w:val="00175D24"/>
    <w:rsid w:val="00176A17"/>
    <w:rsid w:val="00177CB6"/>
    <w:rsid w:val="00183D15"/>
    <w:rsid w:val="00184FD3"/>
    <w:rsid w:val="00187D84"/>
    <w:rsid w:val="00193623"/>
    <w:rsid w:val="00196461"/>
    <w:rsid w:val="001A0B69"/>
    <w:rsid w:val="001A3FCD"/>
    <w:rsid w:val="001B5517"/>
    <w:rsid w:val="001C1447"/>
    <w:rsid w:val="001C546B"/>
    <w:rsid w:val="001C773E"/>
    <w:rsid w:val="001D0990"/>
    <w:rsid w:val="001D21F8"/>
    <w:rsid w:val="001D2725"/>
    <w:rsid w:val="001D61C5"/>
    <w:rsid w:val="001E3938"/>
    <w:rsid w:val="001E3C4F"/>
    <w:rsid w:val="001F065B"/>
    <w:rsid w:val="001F1E03"/>
    <w:rsid w:val="001F23EA"/>
    <w:rsid w:val="001F26F5"/>
    <w:rsid w:val="001F5A38"/>
    <w:rsid w:val="00201661"/>
    <w:rsid w:val="002020DA"/>
    <w:rsid w:val="002063B1"/>
    <w:rsid w:val="00206D31"/>
    <w:rsid w:val="002211D0"/>
    <w:rsid w:val="00225535"/>
    <w:rsid w:val="0023117C"/>
    <w:rsid w:val="00231A74"/>
    <w:rsid w:val="00237AAD"/>
    <w:rsid w:val="00241645"/>
    <w:rsid w:val="00241AF4"/>
    <w:rsid w:val="002424A4"/>
    <w:rsid w:val="002433DA"/>
    <w:rsid w:val="0024387D"/>
    <w:rsid w:val="00251A7B"/>
    <w:rsid w:val="00252BAA"/>
    <w:rsid w:val="00252F96"/>
    <w:rsid w:val="0025626E"/>
    <w:rsid w:val="002624FD"/>
    <w:rsid w:val="002651B9"/>
    <w:rsid w:val="00271F3A"/>
    <w:rsid w:val="002918D2"/>
    <w:rsid w:val="00291D62"/>
    <w:rsid w:val="00291E44"/>
    <w:rsid w:val="00292601"/>
    <w:rsid w:val="00295404"/>
    <w:rsid w:val="00295877"/>
    <w:rsid w:val="002A036E"/>
    <w:rsid w:val="002A5F8D"/>
    <w:rsid w:val="002B4BA4"/>
    <w:rsid w:val="002B71F2"/>
    <w:rsid w:val="002B75B7"/>
    <w:rsid w:val="002B783B"/>
    <w:rsid w:val="002C2AFD"/>
    <w:rsid w:val="002C469B"/>
    <w:rsid w:val="002D0D3C"/>
    <w:rsid w:val="002D168F"/>
    <w:rsid w:val="002D3C67"/>
    <w:rsid w:val="002D67A2"/>
    <w:rsid w:val="002E0029"/>
    <w:rsid w:val="002E26AD"/>
    <w:rsid w:val="002E570B"/>
    <w:rsid w:val="002E59F1"/>
    <w:rsid w:val="002F1F38"/>
    <w:rsid w:val="002F2843"/>
    <w:rsid w:val="002F34E9"/>
    <w:rsid w:val="002F7A0D"/>
    <w:rsid w:val="00301DCF"/>
    <w:rsid w:val="00301DD4"/>
    <w:rsid w:val="00307A33"/>
    <w:rsid w:val="00314292"/>
    <w:rsid w:val="00316BD0"/>
    <w:rsid w:val="0032724B"/>
    <w:rsid w:val="003376B2"/>
    <w:rsid w:val="00341C44"/>
    <w:rsid w:val="003424DC"/>
    <w:rsid w:val="003453B7"/>
    <w:rsid w:val="00350F9B"/>
    <w:rsid w:val="00352116"/>
    <w:rsid w:val="003541F3"/>
    <w:rsid w:val="00354B7A"/>
    <w:rsid w:val="003551CB"/>
    <w:rsid w:val="00357E21"/>
    <w:rsid w:val="00360469"/>
    <w:rsid w:val="003622F4"/>
    <w:rsid w:val="00365B81"/>
    <w:rsid w:val="00366BE1"/>
    <w:rsid w:val="00371528"/>
    <w:rsid w:val="00372696"/>
    <w:rsid w:val="003729C6"/>
    <w:rsid w:val="003739A6"/>
    <w:rsid w:val="00382139"/>
    <w:rsid w:val="0038304B"/>
    <w:rsid w:val="0038555F"/>
    <w:rsid w:val="0038647E"/>
    <w:rsid w:val="00387C36"/>
    <w:rsid w:val="00390F68"/>
    <w:rsid w:val="00392B55"/>
    <w:rsid w:val="0039470F"/>
    <w:rsid w:val="00396E04"/>
    <w:rsid w:val="0039735D"/>
    <w:rsid w:val="003A10D5"/>
    <w:rsid w:val="003A1E95"/>
    <w:rsid w:val="003A23F0"/>
    <w:rsid w:val="003A59EE"/>
    <w:rsid w:val="003B11AD"/>
    <w:rsid w:val="003B689E"/>
    <w:rsid w:val="003C4197"/>
    <w:rsid w:val="003C4E6B"/>
    <w:rsid w:val="003C56D8"/>
    <w:rsid w:val="003D0D68"/>
    <w:rsid w:val="003D133A"/>
    <w:rsid w:val="003D2B06"/>
    <w:rsid w:val="003D5F07"/>
    <w:rsid w:val="003D799F"/>
    <w:rsid w:val="003E0915"/>
    <w:rsid w:val="003E1834"/>
    <w:rsid w:val="003E34AB"/>
    <w:rsid w:val="003F0093"/>
    <w:rsid w:val="003F4232"/>
    <w:rsid w:val="003F48C6"/>
    <w:rsid w:val="003F50B4"/>
    <w:rsid w:val="003F5270"/>
    <w:rsid w:val="003F5362"/>
    <w:rsid w:val="003F6263"/>
    <w:rsid w:val="004015D3"/>
    <w:rsid w:val="004018D1"/>
    <w:rsid w:val="00405535"/>
    <w:rsid w:val="00410F80"/>
    <w:rsid w:val="004127EE"/>
    <w:rsid w:val="004136F1"/>
    <w:rsid w:val="004146F3"/>
    <w:rsid w:val="00417584"/>
    <w:rsid w:val="00422187"/>
    <w:rsid w:val="00424DA1"/>
    <w:rsid w:val="00427E7C"/>
    <w:rsid w:val="004318F4"/>
    <w:rsid w:val="00432051"/>
    <w:rsid w:val="0043395C"/>
    <w:rsid w:val="00435341"/>
    <w:rsid w:val="00440A75"/>
    <w:rsid w:val="00440FD5"/>
    <w:rsid w:val="00441264"/>
    <w:rsid w:val="004422B6"/>
    <w:rsid w:val="00442A24"/>
    <w:rsid w:val="00442D85"/>
    <w:rsid w:val="00443694"/>
    <w:rsid w:val="0044422A"/>
    <w:rsid w:val="00446951"/>
    <w:rsid w:val="00451BAA"/>
    <w:rsid w:val="00453726"/>
    <w:rsid w:val="00456243"/>
    <w:rsid w:val="00457D63"/>
    <w:rsid w:val="00461899"/>
    <w:rsid w:val="004630F6"/>
    <w:rsid w:val="00464CF1"/>
    <w:rsid w:val="004652E7"/>
    <w:rsid w:val="00466000"/>
    <w:rsid w:val="004742D8"/>
    <w:rsid w:val="004750C0"/>
    <w:rsid w:val="00476B88"/>
    <w:rsid w:val="00481F82"/>
    <w:rsid w:val="004855C0"/>
    <w:rsid w:val="0048755A"/>
    <w:rsid w:val="004900B1"/>
    <w:rsid w:val="0049154B"/>
    <w:rsid w:val="00491776"/>
    <w:rsid w:val="00492191"/>
    <w:rsid w:val="00492A95"/>
    <w:rsid w:val="004930A4"/>
    <w:rsid w:val="004A028E"/>
    <w:rsid w:val="004A24BF"/>
    <w:rsid w:val="004A490E"/>
    <w:rsid w:val="004B2988"/>
    <w:rsid w:val="004B54B4"/>
    <w:rsid w:val="004B744D"/>
    <w:rsid w:val="004C487C"/>
    <w:rsid w:val="004C4ECD"/>
    <w:rsid w:val="004C6844"/>
    <w:rsid w:val="004C7E97"/>
    <w:rsid w:val="004C7EC3"/>
    <w:rsid w:val="004D2A0F"/>
    <w:rsid w:val="004D397B"/>
    <w:rsid w:val="004D3F13"/>
    <w:rsid w:val="004E0FD6"/>
    <w:rsid w:val="004E1645"/>
    <w:rsid w:val="004E2C41"/>
    <w:rsid w:val="004E2F24"/>
    <w:rsid w:val="004E5B89"/>
    <w:rsid w:val="004E5BB5"/>
    <w:rsid w:val="004F0B3F"/>
    <w:rsid w:val="004F40A7"/>
    <w:rsid w:val="004F5C79"/>
    <w:rsid w:val="004F72E3"/>
    <w:rsid w:val="005005E1"/>
    <w:rsid w:val="005065C1"/>
    <w:rsid w:val="005140FE"/>
    <w:rsid w:val="005153C3"/>
    <w:rsid w:val="00516773"/>
    <w:rsid w:val="00523F49"/>
    <w:rsid w:val="005241C1"/>
    <w:rsid w:val="00524A22"/>
    <w:rsid w:val="00530125"/>
    <w:rsid w:val="005341C2"/>
    <w:rsid w:val="005343E5"/>
    <w:rsid w:val="00534C74"/>
    <w:rsid w:val="0053645D"/>
    <w:rsid w:val="00540A19"/>
    <w:rsid w:val="0054264A"/>
    <w:rsid w:val="00543473"/>
    <w:rsid w:val="00545DCD"/>
    <w:rsid w:val="0054601F"/>
    <w:rsid w:val="00551255"/>
    <w:rsid w:val="0055214A"/>
    <w:rsid w:val="005533C2"/>
    <w:rsid w:val="00553DE3"/>
    <w:rsid w:val="0055797F"/>
    <w:rsid w:val="005601A4"/>
    <w:rsid w:val="005603FF"/>
    <w:rsid w:val="00560DC3"/>
    <w:rsid w:val="005627ED"/>
    <w:rsid w:val="00563A01"/>
    <w:rsid w:val="005644D1"/>
    <w:rsid w:val="005678F3"/>
    <w:rsid w:val="00567DEE"/>
    <w:rsid w:val="00577572"/>
    <w:rsid w:val="005810F8"/>
    <w:rsid w:val="0058229D"/>
    <w:rsid w:val="00587BBB"/>
    <w:rsid w:val="00590BD5"/>
    <w:rsid w:val="00591ECF"/>
    <w:rsid w:val="0059337E"/>
    <w:rsid w:val="00594FF1"/>
    <w:rsid w:val="00596EDA"/>
    <w:rsid w:val="005973D5"/>
    <w:rsid w:val="00597544"/>
    <w:rsid w:val="005A03BA"/>
    <w:rsid w:val="005A3646"/>
    <w:rsid w:val="005A3C55"/>
    <w:rsid w:val="005A5EE6"/>
    <w:rsid w:val="005B1A64"/>
    <w:rsid w:val="005B1CE5"/>
    <w:rsid w:val="005B5AF4"/>
    <w:rsid w:val="005B6775"/>
    <w:rsid w:val="005C17C7"/>
    <w:rsid w:val="005C1D94"/>
    <w:rsid w:val="005C23F6"/>
    <w:rsid w:val="005C385B"/>
    <w:rsid w:val="005C3A96"/>
    <w:rsid w:val="005C4C16"/>
    <w:rsid w:val="005C4F35"/>
    <w:rsid w:val="005C5BA4"/>
    <w:rsid w:val="005D4365"/>
    <w:rsid w:val="005D4404"/>
    <w:rsid w:val="005D48ED"/>
    <w:rsid w:val="005D5161"/>
    <w:rsid w:val="005E20FF"/>
    <w:rsid w:val="005E684E"/>
    <w:rsid w:val="005F14C1"/>
    <w:rsid w:val="00600F18"/>
    <w:rsid w:val="006024DC"/>
    <w:rsid w:val="006043D9"/>
    <w:rsid w:val="00604B3C"/>
    <w:rsid w:val="0060578C"/>
    <w:rsid w:val="00605F52"/>
    <w:rsid w:val="00612C0D"/>
    <w:rsid w:val="0061396B"/>
    <w:rsid w:val="0062150E"/>
    <w:rsid w:val="00621C4F"/>
    <w:rsid w:val="00622618"/>
    <w:rsid w:val="0062483A"/>
    <w:rsid w:val="00624DFC"/>
    <w:rsid w:val="006303B9"/>
    <w:rsid w:val="006401C8"/>
    <w:rsid w:val="00642C81"/>
    <w:rsid w:val="006450A0"/>
    <w:rsid w:val="006523B7"/>
    <w:rsid w:val="00656973"/>
    <w:rsid w:val="006579FA"/>
    <w:rsid w:val="00660739"/>
    <w:rsid w:val="00661CCF"/>
    <w:rsid w:val="00664BB5"/>
    <w:rsid w:val="00664C37"/>
    <w:rsid w:val="006659B2"/>
    <w:rsid w:val="006661AA"/>
    <w:rsid w:val="0067078E"/>
    <w:rsid w:val="00671EE1"/>
    <w:rsid w:val="00673454"/>
    <w:rsid w:val="0067350F"/>
    <w:rsid w:val="00674D9C"/>
    <w:rsid w:val="0067509E"/>
    <w:rsid w:val="00675EEA"/>
    <w:rsid w:val="00676245"/>
    <w:rsid w:val="00676653"/>
    <w:rsid w:val="00687E83"/>
    <w:rsid w:val="0069225A"/>
    <w:rsid w:val="00694E3A"/>
    <w:rsid w:val="00694FBC"/>
    <w:rsid w:val="00696668"/>
    <w:rsid w:val="00697725"/>
    <w:rsid w:val="006A025B"/>
    <w:rsid w:val="006A041A"/>
    <w:rsid w:val="006A3167"/>
    <w:rsid w:val="006A5DC7"/>
    <w:rsid w:val="006A64E5"/>
    <w:rsid w:val="006B1119"/>
    <w:rsid w:val="006B225A"/>
    <w:rsid w:val="006B4A77"/>
    <w:rsid w:val="006B4E68"/>
    <w:rsid w:val="006B614E"/>
    <w:rsid w:val="006B7027"/>
    <w:rsid w:val="006C4DDE"/>
    <w:rsid w:val="006C5100"/>
    <w:rsid w:val="006C762C"/>
    <w:rsid w:val="006C7ADD"/>
    <w:rsid w:val="006D0008"/>
    <w:rsid w:val="006D0649"/>
    <w:rsid w:val="006D3754"/>
    <w:rsid w:val="006D422C"/>
    <w:rsid w:val="006D4E53"/>
    <w:rsid w:val="006D6025"/>
    <w:rsid w:val="006E0111"/>
    <w:rsid w:val="006E1B87"/>
    <w:rsid w:val="006E6E85"/>
    <w:rsid w:val="006E792C"/>
    <w:rsid w:val="006E7D70"/>
    <w:rsid w:val="006F01A7"/>
    <w:rsid w:val="006F2908"/>
    <w:rsid w:val="006F31C2"/>
    <w:rsid w:val="006F5CAD"/>
    <w:rsid w:val="0070070B"/>
    <w:rsid w:val="00700E4A"/>
    <w:rsid w:val="00701FC8"/>
    <w:rsid w:val="007026F1"/>
    <w:rsid w:val="00712580"/>
    <w:rsid w:val="007142E1"/>
    <w:rsid w:val="007155A3"/>
    <w:rsid w:val="00717751"/>
    <w:rsid w:val="00723E61"/>
    <w:rsid w:val="007241BD"/>
    <w:rsid w:val="007305E1"/>
    <w:rsid w:val="00730A44"/>
    <w:rsid w:val="007359CF"/>
    <w:rsid w:val="00735FC2"/>
    <w:rsid w:val="00736FFE"/>
    <w:rsid w:val="0074062A"/>
    <w:rsid w:val="00744618"/>
    <w:rsid w:val="00752A91"/>
    <w:rsid w:val="00754DB2"/>
    <w:rsid w:val="00756436"/>
    <w:rsid w:val="00756E3B"/>
    <w:rsid w:val="00756FA9"/>
    <w:rsid w:val="007577B1"/>
    <w:rsid w:val="007604D7"/>
    <w:rsid w:val="007620ED"/>
    <w:rsid w:val="00765542"/>
    <w:rsid w:val="00765F94"/>
    <w:rsid w:val="0077230C"/>
    <w:rsid w:val="007756B4"/>
    <w:rsid w:val="00781A32"/>
    <w:rsid w:val="00782481"/>
    <w:rsid w:val="007833F0"/>
    <w:rsid w:val="00791D1B"/>
    <w:rsid w:val="00792729"/>
    <w:rsid w:val="007962C3"/>
    <w:rsid w:val="007A4F17"/>
    <w:rsid w:val="007A5258"/>
    <w:rsid w:val="007A581D"/>
    <w:rsid w:val="007B1128"/>
    <w:rsid w:val="007B38A0"/>
    <w:rsid w:val="007B3DA5"/>
    <w:rsid w:val="007B45F6"/>
    <w:rsid w:val="007B4CA5"/>
    <w:rsid w:val="007B53A2"/>
    <w:rsid w:val="007B69A1"/>
    <w:rsid w:val="007C1758"/>
    <w:rsid w:val="007C370E"/>
    <w:rsid w:val="007C71FC"/>
    <w:rsid w:val="007C7CB6"/>
    <w:rsid w:val="007D108D"/>
    <w:rsid w:val="007D44E4"/>
    <w:rsid w:val="007D45A8"/>
    <w:rsid w:val="007D69F7"/>
    <w:rsid w:val="007E20CD"/>
    <w:rsid w:val="007E467C"/>
    <w:rsid w:val="007E473C"/>
    <w:rsid w:val="007E5F63"/>
    <w:rsid w:val="007E6AD0"/>
    <w:rsid w:val="007F0986"/>
    <w:rsid w:val="007F13BA"/>
    <w:rsid w:val="007F21F9"/>
    <w:rsid w:val="007F3662"/>
    <w:rsid w:val="007F5A23"/>
    <w:rsid w:val="007F7A6D"/>
    <w:rsid w:val="00800048"/>
    <w:rsid w:val="008009BE"/>
    <w:rsid w:val="00806E68"/>
    <w:rsid w:val="00807BEA"/>
    <w:rsid w:val="00810143"/>
    <w:rsid w:val="00810689"/>
    <w:rsid w:val="0081567D"/>
    <w:rsid w:val="008163E9"/>
    <w:rsid w:val="00821763"/>
    <w:rsid w:val="00822762"/>
    <w:rsid w:val="00824969"/>
    <w:rsid w:val="0083359B"/>
    <w:rsid w:val="00833B06"/>
    <w:rsid w:val="008351A1"/>
    <w:rsid w:val="008358B1"/>
    <w:rsid w:val="00837AE7"/>
    <w:rsid w:val="00841407"/>
    <w:rsid w:val="00842AD8"/>
    <w:rsid w:val="00846349"/>
    <w:rsid w:val="0085093B"/>
    <w:rsid w:val="00851139"/>
    <w:rsid w:val="00851A34"/>
    <w:rsid w:val="00853461"/>
    <w:rsid w:val="00853AC2"/>
    <w:rsid w:val="008565CD"/>
    <w:rsid w:val="00856C8D"/>
    <w:rsid w:val="00860A4B"/>
    <w:rsid w:val="008613FE"/>
    <w:rsid w:val="00862219"/>
    <w:rsid w:val="008639D1"/>
    <w:rsid w:val="008641D5"/>
    <w:rsid w:val="00871B97"/>
    <w:rsid w:val="00873E01"/>
    <w:rsid w:val="00874885"/>
    <w:rsid w:val="0087637B"/>
    <w:rsid w:val="00877490"/>
    <w:rsid w:val="00880B53"/>
    <w:rsid w:val="00885285"/>
    <w:rsid w:val="00885D4B"/>
    <w:rsid w:val="00891B4F"/>
    <w:rsid w:val="00892BE6"/>
    <w:rsid w:val="008957E7"/>
    <w:rsid w:val="00896254"/>
    <w:rsid w:val="0089697B"/>
    <w:rsid w:val="00896E1C"/>
    <w:rsid w:val="008A06F5"/>
    <w:rsid w:val="008A4905"/>
    <w:rsid w:val="008A659F"/>
    <w:rsid w:val="008B69A6"/>
    <w:rsid w:val="008B7D32"/>
    <w:rsid w:val="008C3067"/>
    <w:rsid w:val="008C4FAF"/>
    <w:rsid w:val="008D141E"/>
    <w:rsid w:val="008D2EF7"/>
    <w:rsid w:val="008D4B31"/>
    <w:rsid w:val="008E07AB"/>
    <w:rsid w:val="008E1335"/>
    <w:rsid w:val="008E1843"/>
    <w:rsid w:val="008E1EE4"/>
    <w:rsid w:val="008E37CA"/>
    <w:rsid w:val="008F06B2"/>
    <w:rsid w:val="008F0C35"/>
    <w:rsid w:val="008F12E0"/>
    <w:rsid w:val="008F3F93"/>
    <w:rsid w:val="008F5F73"/>
    <w:rsid w:val="008F7849"/>
    <w:rsid w:val="008F7E51"/>
    <w:rsid w:val="00913E50"/>
    <w:rsid w:val="00922C74"/>
    <w:rsid w:val="00923AAD"/>
    <w:rsid w:val="00932FEA"/>
    <w:rsid w:val="00933C83"/>
    <w:rsid w:val="0093451A"/>
    <w:rsid w:val="009350D2"/>
    <w:rsid w:val="0093558C"/>
    <w:rsid w:val="00936AAB"/>
    <w:rsid w:val="009420D4"/>
    <w:rsid w:val="00942BF8"/>
    <w:rsid w:val="00944C56"/>
    <w:rsid w:val="00946EC0"/>
    <w:rsid w:val="00947736"/>
    <w:rsid w:val="0094790B"/>
    <w:rsid w:val="009542CF"/>
    <w:rsid w:val="00954A30"/>
    <w:rsid w:val="00955056"/>
    <w:rsid w:val="009576DF"/>
    <w:rsid w:val="0095797F"/>
    <w:rsid w:val="00960D3C"/>
    <w:rsid w:val="009616E6"/>
    <w:rsid w:val="00961AE8"/>
    <w:rsid w:val="00961C3B"/>
    <w:rsid w:val="00965058"/>
    <w:rsid w:val="0096565E"/>
    <w:rsid w:val="00971640"/>
    <w:rsid w:val="00974B11"/>
    <w:rsid w:val="00974ECE"/>
    <w:rsid w:val="00977324"/>
    <w:rsid w:val="0097761F"/>
    <w:rsid w:val="00983151"/>
    <w:rsid w:val="009846C2"/>
    <w:rsid w:val="00985FA6"/>
    <w:rsid w:val="0098653E"/>
    <w:rsid w:val="00986CC2"/>
    <w:rsid w:val="00987650"/>
    <w:rsid w:val="0099280C"/>
    <w:rsid w:val="00992CD6"/>
    <w:rsid w:val="00992EFC"/>
    <w:rsid w:val="00993491"/>
    <w:rsid w:val="00993BDC"/>
    <w:rsid w:val="00995205"/>
    <w:rsid w:val="009953F6"/>
    <w:rsid w:val="0099598E"/>
    <w:rsid w:val="00996E12"/>
    <w:rsid w:val="009A0C03"/>
    <w:rsid w:val="009A453F"/>
    <w:rsid w:val="009B1AE4"/>
    <w:rsid w:val="009B1B3C"/>
    <w:rsid w:val="009C4240"/>
    <w:rsid w:val="009D16C6"/>
    <w:rsid w:val="009D2D9D"/>
    <w:rsid w:val="009D343B"/>
    <w:rsid w:val="009D4C04"/>
    <w:rsid w:val="009D4C3F"/>
    <w:rsid w:val="009E03CA"/>
    <w:rsid w:val="009E26B5"/>
    <w:rsid w:val="009E30B8"/>
    <w:rsid w:val="009E3AE8"/>
    <w:rsid w:val="009E4D25"/>
    <w:rsid w:val="009E527F"/>
    <w:rsid w:val="009E581E"/>
    <w:rsid w:val="009E684B"/>
    <w:rsid w:val="009E7740"/>
    <w:rsid w:val="009E789F"/>
    <w:rsid w:val="009F186E"/>
    <w:rsid w:val="009F3B27"/>
    <w:rsid w:val="009F53BB"/>
    <w:rsid w:val="009F6959"/>
    <w:rsid w:val="009F7054"/>
    <w:rsid w:val="00A00152"/>
    <w:rsid w:val="00A04D77"/>
    <w:rsid w:val="00A05FDD"/>
    <w:rsid w:val="00A108A3"/>
    <w:rsid w:val="00A12C81"/>
    <w:rsid w:val="00A12ED1"/>
    <w:rsid w:val="00A16560"/>
    <w:rsid w:val="00A17630"/>
    <w:rsid w:val="00A2095D"/>
    <w:rsid w:val="00A237CF"/>
    <w:rsid w:val="00A23ACF"/>
    <w:rsid w:val="00A24034"/>
    <w:rsid w:val="00A2618B"/>
    <w:rsid w:val="00A313DB"/>
    <w:rsid w:val="00A3213D"/>
    <w:rsid w:val="00A33AF2"/>
    <w:rsid w:val="00A3517A"/>
    <w:rsid w:val="00A35454"/>
    <w:rsid w:val="00A35B75"/>
    <w:rsid w:val="00A430BC"/>
    <w:rsid w:val="00A519E9"/>
    <w:rsid w:val="00A54934"/>
    <w:rsid w:val="00A56FD3"/>
    <w:rsid w:val="00A618D4"/>
    <w:rsid w:val="00A61B31"/>
    <w:rsid w:val="00A62B8A"/>
    <w:rsid w:val="00A650F1"/>
    <w:rsid w:val="00A66121"/>
    <w:rsid w:val="00A6737E"/>
    <w:rsid w:val="00A67F8F"/>
    <w:rsid w:val="00A71FC2"/>
    <w:rsid w:val="00A71FF5"/>
    <w:rsid w:val="00A7407D"/>
    <w:rsid w:val="00A7475B"/>
    <w:rsid w:val="00A76BBB"/>
    <w:rsid w:val="00A77F53"/>
    <w:rsid w:val="00A80D44"/>
    <w:rsid w:val="00A81EBB"/>
    <w:rsid w:val="00A82219"/>
    <w:rsid w:val="00A82D5C"/>
    <w:rsid w:val="00A837D7"/>
    <w:rsid w:val="00A86EDE"/>
    <w:rsid w:val="00A870A7"/>
    <w:rsid w:val="00A90BF5"/>
    <w:rsid w:val="00A923BB"/>
    <w:rsid w:val="00A92C82"/>
    <w:rsid w:val="00A97250"/>
    <w:rsid w:val="00AA2399"/>
    <w:rsid w:val="00AA45F1"/>
    <w:rsid w:val="00AB1381"/>
    <w:rsid w:val="00AB2847"/>
    <w:rsid w:val="00AB4D4E"/>
    <w:rsid w:val="00AB7F30"/>
    <w:rsid w:val="00AC19E5"/>
    <w:rsid w:val="00AC2445"/>
    <w:rsid w:val="00AC6461"/>
    <w:rsid w:val="00AD2FB4"/>
    <w:rsid w:val="00AD364F"/>
    <w:rsid w:val="00AD511D"/>
    <w:rsid w:val="00AD6512"/>
    <w:rsid w:val="00AE2CC1"/>
    <w:rsid w:val="00AE796F"/>
    <w:rsid w:val="00AF1550"/>
    <w:rsid w:val="00AF61C9"/>
    <w:rsid w:val="00B00789"/>
    <w:rsid w:val="00B0787B"/>
    <w:rsid w:val="00B10DC2"/>
    <w:rsid w:val="00B11D70"/>
    <w:rsid w:val="00B16645"/>
    <w:rsid w:val="00B16660"/>
    <w:rsid w:val="00B16D88"/>
    <w:rsid w:val="00B21CEF"/>
    <w:rsid w:val="00B30962"/>
    <w:rsid w:val="00B316BF"/>
    <w:rsid w:val="00B3385F"/>
    <w:rsid w:val="00B348CC"/>
    <w:rsid w:val="00B34B4D"/>
    <w:rsid w:val="00B3764A"/>
    <w:rsid w:val="00B43AD3"/>
    <w:rsid w:val="00B43FFC"/>
    <w:rsid w:val="00B5113F"/>
    <w:rsid w:val="00B515F6"/>
    <w:rsid w:val="00B5168E"/>
    <w:rsid w:val="00B539F0"/>
    <w:rsid w:val="00B54C9B"/>
    <w:rsid w:val="00B56B7E"/>
    <w:rsid w:val="00B573A2"/>
    <w:rsid w:val="00B57624"/>
    <w:rsid w:val="00B62C5F"/>
    <w:rsid w:val="00B6709C"/>
    <w:rsid w:val="00B71319"/>
    <w:rsid w:val="00B717B5"/>
    <w:rsid w:val="00B73B1D"/>
    <w:rsid w:val="00B764F0"/>
    <w:rsid w:val="00B76744"/>
    <w:rsid w:val="00B81245"/>
    <w:rsid w:val="00B81B41"/>
    <w:rsid w:val="00B838DC"/>
    <w:rsid w:val="00B84426"/>
    <w:rsid w:val="00B85F35"/>
    <w:rsid w:val="00B87C8B"/>
    <w:rsid w:val="00B92A5A"/>
    <w:rsid w:val="00B95119"/>
    <w:rsid w:val="00B978FA"/>
    <w:rsid w:val="00BA01E5"/>
    <w:rsid w:val="00BA1381"/>
    <w:rsid w:val="00BA204D"/>
    <w:rsid w:val="00BA2E65"/>
    <w:rsid w:val="00BA5B67"/>
    <w:rsid w:val="00BA7979"/>
    <w:rsid w:val="00BB00A2"/>
    <w:rsid w:val="00BB2DDA"/>
    <w:rsid w:val="00BC0BC5"/>
    <w:rsid w:val="00BC19D9"/>
    <w:rsid w:val="00BC1B4F"/>
    <w:rsid w:val="00BC31FF"/>
    <w:rsid w:val="00BC5B69"/>
    <w:rsid w:val="00BC679D"/>
    <w:rsid w:val="00BD1B2F"/>
    <w:rsid w:val="00BD2ECB"/>
    <w:rsid w:val="00BD532E"/>
    <w:rsid w:val="00BD6313"/>
    <w:rsid w:val="00BE4132"/>
    <w:rsid w:val="00BE43C7"/>
    <w:rsid w:val="00BE48A6"/>
    <w:rsid w:val="00BF0660"/>
    <w:rsid w:val="00BF112C"/>
    <w:rsid w:val="00BF21F6"/>
    <w:rsid w:val="00BF362C"/>
    <w:rsid w:val="00BF44CF"/>
    <w:rsid w:val="00BF5E85"/>
    <w:rsid w:val="00C02D60"/>
    <w:rsid w:val="00C12555"/>
    <w:rsid w:val="00C147D1"/>
    <w:rsid w:val="00C15055"/>
    <w:rsid w:val="00C16BA9"/>
    <w:rsid w:val="00C16C40"/>
    <w:rsid w:val="00C2191F"/>
    <w:rsid w:val="00C260DB"/>
    <w:rsid w:val="00C3154D"/>
    <w:rsid w:val="00C400EF"/>
    <w:rsid w:val="00C43315"/>
    <w:rsid w:val="00C50641"/>
    <w:rsid w:val="00C50F47"/>
    <w:rsid w:val="00C56705"/>
    <w:rsid w:val="00C567AD"/>
    <w:rsid w:val="00C57295"/>
    <w:rsid w:val="00C5729A"/>
    <w:rsid w:val="00C57670"/>
    <w:rsid w:val="00C61D0C"/>
    <w:rsid w:val="00C64604"/>
    <w:rsid w:val="00C70327"/>
    <w:rsid w:val="00C7050C"/>
    <w:rsid w:val="00C72DE2"/>
    <w:rsid w:val="00C765AF"/>
    <w:rsid w:val="00C80DF7"/>
    <w:rsid w:val="00C81B62"/>
    <w:rsid w:val="00C82860"/>
    <w:rsid w:val="00C8473A"/>
    <w:rsid w:val="00C8503A"/>
    <w:rsid w:val="00C86DAD"/>
    <w:rsid w:val="00C8787A"/>
    <w:rsid w:val="00C91F23"/>
    <w:rsid w:val="00C924C9"/>
    <w:rsid w:val="00C93D35"/>
    <w:rsid w:val="00C94D6D"/>
    <w:rsid w:val="00C95562"/>
    <w:rsid w:val="00C97EB0"/>
    <w:rsid w:val="00CA20B8"/>
    <w:rsid w:val="00CA490E"/>
    <w:rsid w:val="00CA659E"/>
    <w:rsid w:val="00CA6FA4"/>
    <w:rsid w:val="00CA751D"/>
    <w:rsid w:val="00CA789E"/>
    <w:rsid w:val="00CB0AF7"/>
    <w:rsid w:val="00CB0BBB"/>
    <w:rsid w:val="00CB254F"/>
    <w:rsid w:val="00CB26B4"/>
    <w:rsid w:val="00CB4A57"/>
    <w:rsid w:val="00CB59E4"/>
    <w:rsid w:val="00CB6B69"/>
    <w:rsid w:val="00CB6C2C"/>
    <w:rsid w:val="00CC05C3"/>
    <w:rsid w:val="00CC6A15"/>
    <w:rsid w:val="00CD28B9"/>
    <w:rsid w:val="00CD674F"/>
    <w:rsid w:val="00CE0AEB"/>
    <w:rsid w:val="00CE2E84"/>
    <w:rsid w:val="00CE794E"/>
    <w:rsid w:val="00CF2C28"/>
    <w:rsid w:val="00CF330D"/>
    <w:rsid w:val="00CF4E9C"/>
    <w:rsid w:val="00CF5D6A"/>
    <w:rsid w:val="00CF7531"/>
    <w:rsid w:val="00D001A2"/>
    <w:rsid w:val="00D00FA1"/>
    <w:rsid w:val="00D0264D"/>
    <w:rsid w:val="00D02FB9"/>
    <w:rsid w:val="00D03F6F"/>
    <w:rsid w:val="00D12FE3"/>
    <w:rsid w:val="00D13A87"/>
    <w:rsid w:val="00D1561C"/>
    <w:rsid w:val="00D158E1"/>
    <w:rsid w:val="00D159B5"/>
    <w:rsid w:val="00D242AC"/>
    <w:rsid w:val="00D24347"/>
    <w:rsid w:val="00D24D5A"/>
    <w:rsid w:val="00D255AD"/>
    <w:rsid w:val="00D25D90"/>
    <w:rsid w:val="00D26E7A"/>
    <w:rsid w:val="00D27F9E"/>
    <w:rsid w:val="00D27FE6"/>
    <w:rsid w:val="00D414FB"/>
    <w:rsid w:val="00D41B17"/>
    <w:rsid w:val="00D4245C"/>
    <w:rsid w:val="00D46268"/>
    <w:rsid w:val="00D47AF1"/>
    <w:rsid w:val="00D50E35"/>
    <w:rsid w:val="00D52503"/>
    <w:rsid w:val="00D52AE3"/>
    <w:rsid w:val="00D53A75"/>
    <w:rsid w:val="00D54A4E"/>
    <w:rsid w:val="00D565A9"/>
    <w:rsid w:val="00D60823"/>
    <w:rsid w:val="00D65979"/>
    <w:rsid w:val="00D65CB4"/>
    <w:rsid w:val="00D66CB7"/>
    <w:rsid w:val="00D71D80"/>
    <w:rsid w:val="00D75E31"/>
    <w:rsid w:val="00D8132A"/>
    <w:rsid w:val="00D82B10"/>
    <w:rsid w:val="00D82B58"/>
    <w:rsid w:val="00D9012F"/>
    <w:rsid w:val="00D95CF7"/>
    <w:rsid w:val="00D96222"/>
    <w:rsid w:val="00DA0C2B"/>
    <w:rsid w:val="00DA3AAD"/>
    <w:rsid w:val="00DA7FB7"/>
    <w:rsid w:val="00DB0655"/>
    <w:rsid w:val="00DB07E1"/>
    <w:rsid w:val="00DB40C7"/>
    <w:rsid w:val="00DB46DC"/>
    <w:rsid w:val="00DB4868"/>
    <w:rsid w:val="00DB77BE"/>
    <w:rsid w:val="00DC37CC"/>
    <w:rsid w:val="00DC3B75"/>
    <w:rsid w:val="00DC3D95"/>
    <w:rsid w:val="00DC7FB9"/>
    <w:rsid w:val="00DD2917"/>
    <w:rsid w:val="00DD2DFD"/>
    <w:rsid w:val="00DD54BE"/>
    <w:rsid w:val="00DD7941"/>
    <w:rsid w:val="00DD795A"/>
    <w:rsid w:val="00DE4D71"/>
    <w:rsid w:val="00DE51A6"/>
    <w:rsid w:val="00DE5285"/>
    <w:rsid w:val="00DE6B36"/>
    <w:rsid w:val="00DF0AA0"/>
    <w:rsid w:val="00DF19E5"/>
    <w:rsid w:val="00DF1C4D"/>
    <w:rsid w:val="00DF289C"/>
    <w:rsid w:val="00DF582C"/>
    <w:rsid w:val="00DF750E"/>
    <w:rsid w:val="00E01C43"/>
    <w:rsid w:val="00E01DCD"/>
    <w:rsid w:val="00E02D09"/>
    <w:rsid w:val="00E05FE9"/>
    <w:rsid w:val="00E11DF7"/>
    <w:rsid w:val="00E1294B"/>
    <w:rsid w:val="00E2031F"/>
    <w:rsid w:val="00E22663"/>
    <w:rsid w:val="00E26BD6"/>
    <w:rsid w:val="00E315D5"/>
    <w:rsid w:val="00E34AF5"/>
    <w:rsid w:val="00E34D4D"/>
    <w:rsid w:val="00E35314"/>
    <w:rsid w:val="00E406B4"/>
    <w:rsid w:val="00E41502"/>
    <w:rsid w:val="00E441B4"/>
    <w:rsid w:val="00E44833"/>
    <w:rsid w:val="00E51927"/>
    <w:rsid w:val="00E56AC2"/>
    <w:rsid w:val="00E57795"/>
    <w:rsid w:val="00E60B4F"/>
    <w:rsid w:val="00E652D9"/>
    <w:rsid w:val="00E65507"/>
    <w:rsid w:val="00E704A7"/>
    <w:rsid w:val="00E70613"/>
    <w:rsid w:val="00E72021"/>
    <w:rsid w:val="00E73A4E"/>
    <w:rsid w:val="00E74181"/>
    <w:rsid w:val="00E75F53"/>
    <w:rsid w:val="00E81317"/>
    <w:rsid w:val="00E817D2"/>
    <w:rsid w:val="00E87BEC"/>
    <w:rsid w:val="00E9008D"/>
    <w:rsid w:val="00E91966"/>
    <w:rsid w:val="00EA693F"/>
    <w:rsid w:val="00EB137F"/>
    <w:rsid w:val="00EC0C54"/>
    <w:rsid w:val="00EC5CE7"/>
    <w:rsid w:val="00EC7E87"/>
    <w:rsid w:val="00ED1EEF"/>
    <w:rsid w:val="00ED2184"/>
    <w:rsid w:val="00ED2CDF"/>
    <w:rsid w:val="00ED76A8"/>
    <w:rsid w:val="00ED78CB"/>
    <w:rsid w:val="00ED7AEF"/>
    <w:rsid w:val="00EE0265"/>
    <w:rsid w:val="00EE391F"/>
    <w:rsid w:val="00EE5DC0"/>
    <w:rsid w:val="00EE626F"/>
    <w:rsid w:val="00EE6B31"/>
    <w:rsid w:val="00EF2598"/>
    <w:rsid w:val="00EF7F39"/>
    <w:rsid w:val="00F01E8F"/>
    <w:rsid w:val="00F03172"/>
    <w:rsid w:val="00F04222"/>
    <w:rsid w:val="00F10732"/>
    <w:rsid w:val="00F11632"/>
    <w:rsid w:val="00F12E31"/>
    <w:rsid w:val="00F131A0"/>
    <w:rsid w:val="00F1365C"/>
    <w:rsid w:val="00F16E31"/>
    <w:rsid w:val="00F24419"/>
    <w:rsid w:val="00F25FBA"/>
    <w:rsid w:val="00F25FCE"/>
    <w:rsid w:val="00F30854"/>
    <w:rsid w:val="00F30D1A"/>
    <w:rsid w:val="00F315C7"/>
    <w:rsid w:val="00F32B66"/>
    <w:rsid w:val="00F363D9"/>
    <w:rsid w:val="00F40098"/>
    <w:rsid w:val="00F40727"/>
    <w:rsid w:val="00F40D43"/>
    <w:rsid w:val="00F4152A"/>
    <w:rsid w:val="00F419AC"/>
    <w:rsid w:val="00F430C5"/>
    <w:rsid w:val="00F43B00"/>
    <w:rsid w:val="00F44A26"/>
    <w:rsid w:val="00F4722C"/>
    <w:rsid w:val="00F5108E"/>
    <w:rsid w:val="00F52AD2"/>
    <w:rsid w:val="00F5401B"/>
    <w:rsid w:val="00F5426B"/>
    <w:rsid w:val="00F54967"/>
    <w:rsid w:val="00F62B25"/>
    <w:rsid w:val="00F63DC3"/>
    <w:rsid w:val="00F67884"/>
    <w:rsid w:val="00F723AA"/>
    <w:rsid w:val="00F72C10"/>
    <w:rsid w:val="00F754C8"/>
    <w:rsid w:val="00F76658"/>
    <w:rsid w:val="00F82BAE"/>
    <w:rsid w:val="00F84B70"/>
    <w:rsid w:val="00F85B65"/>
    <w:rsid w:val="00F875D0"/>
    <w:rsid w:val="00F90957"/>
    <w:rsid w:val="00F917C8"/>
    <w:rsid w:val="00F9458E"/>
    <w:rsid w:val="00F9579B"/>
    <w:rsid w:val="00FA0CBB"/>
    <w:rsid w:val="00FA135B"/>
    <w:rsid w:val="00FA4AB7"/>
    <w:rsid w:val="00FA7147"/>
    <w:rsid w:val="00FB06A4"/>
    <w:rsid w:val="00FB39AB"/>
    <w:rsid w:val="00FB3BC0"/>
    <w:rsid w:val="00FB5264"/>
    <w:rsid w:val="00FB69B9"/>
    <w:rsid w:val="00FC3A55"/>
    <w:rsid w:val="00FC5212"/>
    <w:rsid w:val="00FC521B"/>
    <w:rsid w:val="00FC73E8"/>
    <w:rsid w:val="00FD0494"/>
    <w:rsid w:val="00FD1387"/>
    <w:rsid w:val="00FD4F56"/>
    <w:rsid w:val="00FD5ED6"/>
    <w:rsid w:val="00FE2277"/>
    <w:rsid w:val="00FE4E28"/>
    <w:rsid w:val="00FF6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 style="mso-width-relative:margin;mso-height-relative:margin;v-text-anchor:middle" fill="f" fillcolor="white" strokecolor="windowText">
      <v:fill color="white" on="f"/>
      <v:stroke color="windowText"/>
      <v:textbox inset="0,0,0,0"/>
    </o:shapedefaults>
    <o:shapelayout v:ext="edit">
      <o:idmap v:ext="edit" data="1"/>
    </o:shapelayout>
  </w:shapeDefaults>
  <w:decimalSymbol w:val=","/>
  <w:listSeparator w:val=";"/>
  <w15:docId w15:val="{B7223556-FD7C-4766-B433-D58D907E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FF1"/>
  </w:style>
  <w:style w:type="paragraph" w:styleId="Ttulo1">
    <w:name w:val="heading 1"/>
    <w:basedOn w:val="Normal"/>
    <w:next w:val="Normal"/>
    <w:link w:val="Ttulo1Car"/>
    <w:uiPriority w:val="9"/>
    <w:qFormat/>
    <w:rsid w:val="000003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03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03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robateur">
    <w:name w:val="Approbateur"/>
    <w:basedOn w:val="Normal"/>
    <w:rsid w:val="0098653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fr-FR" w:eastAsia="fr-FR"/>
    </w:rPr>
  </w:style>
  <w:style w:type="paragraph" w:customStyle="1" w:styleId="Rdacteur">
    <w:name w:val="Rédacteur"/>
    <w:basedOn w:val="Normal"/>
    <w:rsid w:val="0098653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98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53E"/>
  </w:style>
  <w:style w:type="paragraph" w:styleId="Piedepgina">
    <w:name w:val="footer"/>
    <w:basedOn w:val="Normal"/>
    <w:link w:val="PiedepginaCar"/>
    <w:uiPriority w:val="99"/>
    <w:unhideWhenUsed/>
    <w:rsid w:val="0098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53E"/>
  </w:style>
  <w:style w:type="paragraph" w:styleId="Textodeglobo">
    <w:name w:val="Balloon Text"/>
    <w:basedOn w:val="Normal"/>
    <w:link w:val="TextodegloboCar"/>
    <w:uiPriority w:val="99"/>
    <w:semiHidden/>
    <w:unhideWhenUsed/>
    <w:rsid w:val="0098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53E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98653E"/>
    <w:pPr>
      <w:spacing w:after="0" w:line="240" w:lineRule="auto"/>
    </w:pPr>
    <w:rPr>
      <w:rFonts w:eastAsiaTheme="minorEastAsia"/>
      <w:lang w:eastAsia="gl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8653E"/>
    <w:rPr>
      <w:rFonts w:eastAsiaTheme="minorEastAsia"/>
      <w:lang w:eastAsia="gl-ES"/>
    </w:rPr>
  </w:style>
  <w:style w:type="paragraph" w:styleId="Prrafodelista">
    <w:name w:val="List Paragraph"/>
    <w:basedOn w:val="Normal"/>
    <w:link w:val="PrrafodelistaCar"/>
    <w:uiPriority w:val="34"/>
    <w:qFormat/>
    <w:rsid w:val="00C7050C"/>
    <w:pPr>
      <w:ind w:left="720"/>
      <w:contextualSpacing/>
    </w:pPr>
  </w:style>
  <w:style w:type="character" w:styleId="Nmerodepgina">
    <w:name w:val="page number"/>
    <w:basedOn w:val="Fuentedeprrafopredeter"/>
    <w:rsid w:val="003D2B0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A0C2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A0C2B"/>
  </w:style>
  <w:style w:type="paragraph" w:styleId="Textoindependiente3">
    <w:name w:val="Body Text 3"/>
    <w:basedOn w:val="Normal"/>
    <w:link w:val="Textoindependiente3Car"/>
    <w:uiPriority w:val="99"/>
    <w:unhideWhenUsed/>
    <w:rsid w:val="00DA0C2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A0C2B"/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2095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2095D"/>
    <w:rPr>
      <w:sz w:val="16"/>
      <w:szCs w:val="16"/>
    </w:rPr>
  </w:style>
  <w:style w:type="table" w:styleId="Sombreadoclaro-nfasis1">
    <w:name w:val="Light Shading Accent 1"/>
    <w:basedOn w:val="Tablanormal"/>
    <w:uiPriority w:val="60"/>
    <w:rsid w:val="00B5762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5426B"/>
    <w:rPr>
      <w:color w:val="808080"/>
    </w:rPr>
  </w:style>
  <w:style w:type="paragraph" w:customStyle="1" w:styleId="Estilo1">
    <w:name w:val="Estilo1"/>
    <w:basedOn w:val="Normal"/>
    <w:link w:val="Estilo1Car"/>
    <w:qFormat/>
    <w:rsid w:val="0070070B"/>
    <w:pPr>
      <w:spacing w:after="0" w:line="240" w:lineRule="auto"/>
    </w:pPr>
    <w:rPr>
      <w:b/>
      <w:sz w:val="36"/>
      <w:szCs w:val="36"/>
      <w:lang w:val="es-ES"/>
    </w:rPr>
  </w:style>
  <w:style w:type="paragraph" w:customStyle="1" w:styleId="Estilo2">
    <w:name w:val="Estilo2"/>
    <w:basedOn w:val="Estilo1"/>
    <w:link w:val="Estilo2Car"/>
    <w:qFormat/>
    <w:rsid w:val="0070070B"/>
    <w:rPr>
      <w:sz w:val="28"/>
    </w:rPr>
  </w:style>
  <w:style w:type="character" w:customStyle="1" w:styleId="Estilo1Car">
    <w:name w:val="Estilo1 Car"/>
    <w:basedOn w:val="Fuentedeprrafopredeter"/>
    <w:link w:val="Estilo1"/>
    <w:rsid w:val="0070070B"/>
    <w:rPr>
      <w:b/>
      <w:sz w:val="36"/>
      <w:szCs w:val="36"/>
      <w:lang w:val="es-ES"/>
    </w:rPr>
  </w:style>
  <w:style w:type="paragraph" w:customStyle="1" w:styleId="Estilo3">
    <w:name w:val="Estilo3"/>
    <w:basedOn w:val="Estilo2"/>
    <w:link w:val="Estilo3Car"/>
    <w:qFormat/>
    <w:rsid w:val="0070070B"/>
  </w:style>
  <w:style w:type="character" w:customStyle="1" w:styleId="Estilo2Car">
    <w:name w:val="Estilo2 Car"/>
    <w:basedOn w:val="Estilo1Car"/>
    <w:link w:val="Estilo2"/>
    <w:rsid w:val="0070070B"/>
    <w:rPr>
      <w:b/>
      <w:sz w:val="28"/>
      <w:szCs w:val="36"/>
      <w:lang w:val="es-ES"/>
    </w:rPr>
  </w:style>
  <w:style w:type="paragraph" w:customStyle="1" w:styleId="EstiloDocumentoSC">
    <w:name w:val="Estilo_Documento SC"/>
    <w:basedOn w:val="Estilo3"/>
    <w:link w:val="EstiloDocumentoSCCar"/>
    <w:qFormat/>
    <w:rsid w:val="0070070B"/>
  </w:style>
  <w:style w:type="character" w:customStyle="1" w:styleId="Estilo3Car">
    <w:name w:val="Estilo3 Car"/>
    <w:basedOn w:val="Estilo2Car"/>
    <w:link w:val="Estilo3"/>
    <w:rsid w:val="0070070B"/>
    <w:rPr>
      <w:b/>
      <w:sz w:val="28"/>
      <w:szCs w:val="36"/>
      <w:lang w:val="es-ES"/>
    </w:rPr>
  </w:style>
  <w:style w:type="paragraph" w:customStyle="1" w:styleId="Estilo4">
    <w:name w:val="Estilo4"/>
    <w:basedOn w:val="EstiloDocumentoSC"/>
    <w:link w:val="Estilo4Car"/>
    <w:qFormat/>
    <w:rsid w:val="0070070B"/>
    <w:rPr>
      <w:sz w:val="24"/>
    </w:rPr>
  </w:style>
  <w:style w:type="character" w:customStyle="1" w:styleId="EstiloDocumentoSCCar">
    <w:name w:val="Estilo_Documento SC Car"/>
    <w:basedOn w:val="Estilo3Car"/>
    <w:link w:val="EstiloDocumentoSC"/>
    <w:rsid w:val="0070070B"/>
    <w:rPr>
      <w:b/>
      <w:sz w:val="28"/>
      <w:szCs w:val="3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000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4Car">
    <w:name w:val="Estilo4 Car"/>
    <w:basedOn w:val="EstiloDocumentoSCCar"/>
    <w:link w:val="Estilo4"/>
    <w:rsid w:val="0070070B"/>
    <w:rPr>
      <w:b/>
      <w:sz w:val="24"/>
      <w:szCs w:val="36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00030D"/>
    <w:pPr>
      <w:outlineLvl w:val="9"/>
    </w:pPr>
    <w:rPr>
      <w:lang w:eastAsia="gl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00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003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00030D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00030D"/>
    <w:pPr>
      <w:spacing w:after="100"/>
    </w:pPr>
  </w:style>
  <w:style w:type="character" w:styleId="Hipervnculovisitado">
    <w:name w:val="FollowedHyperlink"/>
    <w:basedOn w:val="Fuentedeprrafopredeter"/>
    <w:uiPriority w:val="99"/>
    <w:semiHidden/>
    <w:unhideWhenUsed/>
    <w:rsid w:val="00F9458E"/>
    <w:rPr>
      <w:color w:val="800080" w:themeColor="followedHyperlink"/>
      <w:u w:val="single"/>
    </w:rPr>
  </w:style>
  <w:style w:type="paragraph" w:customStyle="1" w:styleId="Description3">
    <w:name w:val="Description 3"/>
    <w:basedOn w:val="Normal"/>
    <w:rsid w:val="00F82BAE"/>
    <w:pPr>
      <w:spacing w:after="0" w:line="240" w:lineRule="auto"/>
      <w:ind w:left="2340" w:hanging="283"/>
    </w:pPr>
    <w:rPr>
      <w:rFonts w:ascii="Arial" w:eastAsia="Times New Roman" w:hAnsi="Arial" w:cs="Arial"/>
      <w:sz w:val="20"/>
      <w:szCs w:val="24"/>
      <w:lang w:val="es-ES" w:eastAsia="fr-FR"/>
    </w:rPr>
  </w:style>
  <w:style w:type="paragraph" w:customStyle="1" w:styleId="Enderezo">
    <w:name w:val="Enderezo"/>
    <w:basedOn w:val="Normal"/>
    <w:link w:val="EnderezoCar"/>
    <w:autoRedefine/>
    <w:qFormat/>
    <w:rsid w:val="00163CB3"/>
    <w:pPr>
      <w:tabs>
        <w:tab w:val="left" w:pos="429"/>
        <w:tab w:val="center" w:pos="4252"/>
        <w:tab w:val="right" w:pos="8504"/>
        <w:tab w:val="right" w:pos="9674"/>
      </w:tabs>
      <w:spacing w:before="60" w:after="0" w:line="240" w:lineRule="auto"/>
      <w:ind w:left="-102"/>
      <w:contextualSpacing/>
    </w:pPr>
    <w:rPr>
      <w:rFonts w:ascii="ITC New Baskerville Std" w:eastAsia="Cambria" w:hAnsi="ITC New Baskerville Std" w:cs="Times New Roman"/>
      <w:sz w:val="16"/>
      <w:szCs w:val="24"/>
    </w:rPr>
  </w:style>
  <w:style w:type="character" w:customStyle="1" w:styleId="EnderezoCar">
    <w:name w:val="Enderezo Car"/>
    <w:basedOn w:val="Fuentedeprrafopredeter"/>
    <w:link w:val="Enderezo"/>
    <w:rsid w:val="00163CB3"/>
    <w:rPr>
      <w:rFonts w:ascii="ITC New Baskerville Std" w:eastAsia="Cambria" w:hAnsi="ITC New Baskerville Std" w:cs="Times New Roman"/>
      <w:sz w:val="16"/>
      <w:szCs w:val="24"/>
    </w:rPr>
  </w:style>
  <w:style w:type="paragraph" w:customStyle="1" w:styleId="logo">
    <w:name w:val="logo"/>
    <w:basedOn w:val="Encabezado"/>
    <w:autoRedefine/>
    <w:rsid w:val="00163CB3"/>
    <w:pPr>
      <w:spacing w:before="60"/>
      <w:ind w:left="-30"/>
      <w:contextualSpacing/>
    </w:pPr>
    <w:rPr>
      <w:rFonts w:ascii="ITC New Baskerville Std" w:eastAsia="Cambria" w:hAnsi="ITC New Baskerville Std" w:cs="Times New Roman"/>
      <w:sz w:val="21"/>
      <w:szCs w:val="24"/>
    </w:rPr>
  </w:style>
  <w:style w:type="paragraph" w:customStyle="1" w:styleId="Enderezocomprimido">
    <w:name w:val="Enderezo_comprimido"/>
    <w:basedOn w:val="Enderezo"/>
    <w:rsid w:val="00163CB3"/>
    <w:rPr>
      <w:spacing w:val="-6"/>
      <w:szCs w:val="16"/>
    </w:rPr>
  </w:style>
  <w:style w:type="paragraph" w:customStyle="1" w:styleId="NomeCentro">
    <w:name w:val="Nome_Centro"/>
    <w:basedOn w:val="Normal"/>
    <w:rsid w:val="00163CB3"/>
    <w:pPr>
      <w:tabs>
        <w:tab w:val="left" w:pos="429"/>
        <w:tab w:val="center" w:pos="4252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Times New Roman"/>
      <w:color w:val="59178A"/>
      <w:spacing w:val="-14"/>
      <w:position w:val="4"/>
      <w:sz w:val="24"/>
      <w:szCs w:val="24"/>
    </w:rPr>
  </w:style>
  <w:style w:type="paragraph" w:customStyle="1" w:styleId="Estilo5">
    <w:name w:val="Estilo5"/>
    <w:basedOn w:val="Prrafodelista"/>
    <w:link w:val="Estilo5Car"/>
    <w:qFormat/>
    <w:rsid w:val="00BD1B2F"/>
    <w:pPr>
      <w:numPr>
        <w:numId w:val="1"/>
      </w:numPr>
      <w:tabs>
        <w:tab w:val="left" w:pos="2694"/>
      </w:tabs>
      <w:spacing w:after="0" w:line="240" w:lineRule="auto"/>
    </w:pPr>
    <w:rPr>
      <w:rFonts w:ascii="ITC New Baskerville Std" w:hAnsi="ITC New Baskerville Std"/>
      <w:i/>
      <w:sz w:val="24"/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D1B2F"/>
  </w:style>
  <w:style w:type="character" w:customStyle="1" w:styleId="Estilo5Car">
    <w:name w:val="Estilo5 Car"/>
    <w:basedOn w:val="PrrafodelistaCar"/>
    <w:link w:val="Estilo5"/>
    <w:rsid w:val="00BD1B2F"/>
    <w:rPr>
      <w:rFonts w:ascii="ITC New Baskerville Std" w:hAnsi="ITC New Baskerville Std"/>
      <w:i/>
      <w:sz w:val="24"/>
      <w:lang w:val="es-ES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BD1B2F"/>
    <w:pPr>
      <w:spacing w:after="100"/>
      <w:ind w:left="1540"/>
    </w:p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410F80"/>
    <w:pPr>
      <w:spacing w:after="100"/>
      <w:ind w:left="220"/>
    </w:pPr>
    <w:rPr>
      <w:rFonts w:eastAsiaTheme="minorEastAsia"/>
      <w:lang w:eastAsia="gl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10F80"/>
    <w:pPr>
      <w:spacing w:after="100"/>
      <w:ind w:left="440"/>
    </w:pPr>
    <w:rPr>
      <w:rFonts w:eastAsiaTheme="minorEastAsia"/>
      <w:lang w:eastAsia="gl-ES"/>
    </w:rPr>
  </w:style>
  <w:style w:type="table" w:customStyle="1" w:styleId="Sombreadoclaro-nfasis12">
    <w:name w:val="Sombreado claro - Énfasis 12"/>
    <w:basedOn w:val="Tablanormal"/>
    <w:next w:val="Sombreadoclaro-nfasis1"/>
    <w:uiPriority w:val="60"/>
    <w:rsid w:val="00C02D60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doclaro-nfasis11">
    <w:name w:val="Sombreado claro - Énfasis 11"/>
    <w:basedOn w:val="Tablanormal"/>
    <w:next w:val="Sombreadoclaro-nfasis1"/>
    <w:uiPriority w:val="60"/>
    <w:rsid w:val="00CF5D6A"/>
    <w:pPr>
      <w:spacing w:after="0" w:line="240" w:lineRule="auto"/>
    </w:pPr>
    <w:rPr>
      <w:rFonts w:eastAsiaTheme="minorEastAsia"/>
      <w:color w:val="365F91" w:themeColor="accent1" w:themeShade="BF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4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7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emf"/><Relationship Id="rId26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package" Target="embeddings/Dibujo_de_Microsoft_Visio4.vsdx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package" Target="embeddings/Dibujo_de_Microsoft_Visio2.vsdx"/><Relationship Id="rId25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package" Target="embeddings/Dibujo_de_Microsoft_Visio1.vsdx"/><Relationship Id="rId23" Type="http://schemas.openxmlformats.org/officeDocument/2006/relationships/diagramLayout" Target="diagrams/layout1.xml"/><Relationship Id="rId28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package" Target="embeddings/Dibujo_de_Microsoft_Visio3.vsd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emf"/><Relationship Id="rId22" Type="http://schemas.openxmlformats.org/officeDocument/2006/relationships/diagramData" Target="diagrams/data1.xml"/><Relationship Id="rId27" Type="http://schemas.openxmlformats.org/officeDocument/2006/relationships/hyperlink" Target="file:///C:\Users\calidad21\Documents\z_JM\TS%20Calidade\Normas\4%20NORMAS%20+%20FORMS\Normes\Espagne\Documents\Mode-op\QUA\EGPE01QUA001-06%20Anexo%2001.doc" TargetMode="Externa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95BA6B-DDC1-41AC-9425-80AF81B0783B}" type="doc">
      <dgm:prSet loTypeId="urn:microsoft.com/office/officeart/2005/8/layout/cycle3" loCatId="cycle" qsTypeId="urn:microsoft.com/office/officeart/2005/8/quickstyle/simple3" qsCatId="simple" csTypeId="urn:microsoft.com/office/officeart/2005/8/colors/accent1_5" csCatId="accent1" phldr="1"/>
      <dgm:spPr/>
      <dgm:t>
        <a:bodyPr/>
        <a:lstStyle/>
        <a:p>
          <a:endParaRPr lang="gl-ES"/>
        </a:p>
      </dgm:t>
    </dgm:pt>
    <dgm:pt modelId="{164EDA8F-B004-4130-AFE5-E24B3EC43B97}">
      <dgm:prSet phldrT="[Texto]" custT="1"/>
      <dgm:spPr>
        <a:xfrm>
          <a:off x="1753200" y="3145092"/>
          <a:ext cx="1402810" cy="511689"/>
        </a:xfr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Desenvolvemento da mobilidade</a:t>
          </a:r>
        </a:p>
        <a:p>
          <a:r>
            <a:rPr lang="es-ES" sz="8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Xestión dos convenios e acordos de colaboración.</a:t>
          </a:r>
        </a:p>
        <a:p>
          <a:r>
            <a:rPr lang="es-ES" sz="8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Xestión do estudantado de mobilidade (propio e alleo)</a:t>
          </a:r>
        </a:p>
        <a:p>
          <a:r>
            <a:rPr lang="es-ES" sz="8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Xestión dos programas de intercambio</a:t>
          </a:r>
        </a:p>
      </dgm:t>
    </dgm:pt>
    <dgm:pt modelId="{6D72C40C-8015-4BE7-B730-EDAB292017F7}" type="parTrans" cxnId="{4448741A-879A-48DB-96A4-E98FEFEAE38C}">
      <dgm:prSet/>
      <dgm:spPr/>
      <dgm:t>
        <a:bodyPr/>
        <a:lstStyle/>
        <a:p>
          <a:endParaRPr lang="gl-ES"/>
        </a:p>
      </dgm:t>
    </dgm:pt>
    <dgm:pt modelId="{874509B9-F00D-4A3D-8F06-5B2CA91B4C45}" type="sibTrans" cxnId="{4448741A-879A-48DB-96A4-E98FEFEAE38C}">
      <dgm:prSet/>
      <dgm:spPr/>
      <dgm:t>
        <a:bodyPr/>
        <a:lstStyle/>
        <a:p>
          <a:endParaRPr lang="gl-ES"/>
        </a:p>
      </dgm:t>
    </dgm:pt>
    <dgm:pt modelId="{FBE45AD7-DD31-49FA-B366-A2AC218AC74B}">
      <dgm:prSet phldrT="[Texto]" custT="1"/>
      <dgm:spPr>
        <a:xfrm>
          <a:off x="262881" y="54709"/>
          <a:ext cx="1104596" cy="4053763"/>
        </a:xfrm>
        <a:noFill/>
        <a:ln>
          <a:solidFill>
            <a:srgbClr val="4F81BD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lIns="0" rIns="0" anchor="t" anchorCtr="0"/>
        <a:lstStyle/>
        <a:p>
          <a:pPr algn="l"/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UVigo (centros e titulacións, servizos, áreas,..., órganos institucionais)</a:t>
          </a:r>
        </a:p>
        <a:p>
          <a:pPr algn="r"/>
          <a:r>
            <a:rPr lang="es-ES" sz="8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Participación na implantación e xestión do SGIC</a:t>
          </a:r>
        </a:p>
        <a:p>
          <a:pPr algn="r"/>
          <a:r>
            <a:rPr lang="es-ES" sz="8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Dispoñibilidade dos documentos (avaliación, utilización...)</a:t>
          </a:r>
        </a:p>
        <a:p>
          <a:pPr algn="r"/>
          <a:r>
            <a:rPr lang="es-ES" sz="8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Obxectivos de mobilidade</a:t>
          </a:r>
        </a:p>
        <a:p>
          <a:pPr algn="r"/>
          <a:r>
            <a:rPr lang="es-ES" sz="8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Aprendizaxe permanente (mellora da calidade, educación, competitividade...)</a:t>
          </a:r>
          <a:endParaRPr lang="es-ES" sz="8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r"/>
          <a:endParaRPr lang="es-ES" sz="6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l"/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Axencias de Calidade Administración Organismos e institucións</a:t>
          </a:r>
        </a:p>
        <a:p>
          <a:pPr algn="r"/>
          <a:r>
            <a:rPr lang="es-ES" sz="8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Esixencias legais</a:t>
          </a:r>
        </a:p>
        <a:p>
          <a:pPr algn="r"/>
          <a:r>
            <a:rPr lang="es-ES" sz="8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Dispoñibilidade dos documentos (avaliación, acreditación, certificación,...)</a:t>
          </a:r>
          <a:endParaRPr lang="es-ES" sz="800" b="1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r"/>
          <a:endParaRPr lang="es-ES" sz="6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l"/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Estudantes, PDI, Egresadas/os, Empregadoras/es, Sociedade</a:t>
          </a:r>
        </a:p>
        <a:p>
          <a:pPr algn="r"/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s-ES" sz="8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Obxectivos da formación</a:t>
          </a:r>
        </a:p>
        <a:p>
          <a:pPr algn="r"/>
          <a:r>
            <a:rPr lang="gl-ES" sz="8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Dessenvolvemento de competencias interculturais</a:t>
          </a:r>
        </a:p>
        <a:p>
          <a:pPr algn="r"/>
          <a:r>
            <a:rPr lang="gl-ES" sz="8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Mellora da cohesión social</a:t>
          </a:r>
        </a:p>
      </dgm:t>
    </dgm:pt>
    <dgm:pt modelId="{161459C7-2169-4388-B934-E9133B878FE1}" type="parTrans" cxnId="{D10D1B0F-01EA-48EB-ACAB-0C329F19C271}">
      <dgm:prSet/>
      <dgm:spPr/>
      <dgm:t>
        <a:bodyPr/>
        <a:lstStyle/>
        <a:p>
          <a:endParaRPr lang="gl-ES"/>
        </a:p>
      </dgm:t>
    </dgm:pt>
    <dgm:pt modelId="{0B638751-F6DC-4E4B-A938-089DCE0F92C7}" type="sibTrans" cxnId="{D10D1B0F-01EA-48EB-ACAB-0C329F19C271}">
      <dgm:prSet/>
      <dgm:spPr/>
      <dgm:t>
        <a:bodyPr/>
        <a:lstStyle/>
        <a:p>
          <a:endParaRPr lang="gl-ES"/>
        </a:p>
      </dgm:t>
    </dgm:pt>
    <dgm:pt modelId="{EDC6FE82-C607-4D3F-ADE1-B40105F09FFB}">
      <dgm:prSet phldrT="[Texto]" custT="1"/>
      <dgm:spPr>
        <a:xfrm rot="16200000">
          <a:off x="-1088521" y="1842157"/>
          <a:ext cx="2524763" cy="237584"/>
        </a:xfr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13333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13333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13333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/>
          <a:r>
            <a:rPr lang="es-ES" sz="7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Grupos de Interese</a:t>
          </a:r>
          <a:r>
            <a:rPr lang="es-ES" sz="6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     </a:t>
          </a:r>
          <a:r>
            <a:rPr lang="es-ES" sz="7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Requisitos, necesidades e expectativas</a:t>
          </a:r>
          <a:endParaRPr lang="gl-ES" sz="7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D2B4F79-D1AD-4EA4-A488-B536BEF3E33E}" type="parTrans" cxnId="{B4549E5F-F487-4255-8D37-61C628FF85FB}">
      <dgm:prSet/>
      <dgm:spPr/>
      <dgm:t>
        <a:bodyPr/>
        <a:lstStyle/>
        <a:p>
          <a:endParaRPr lang="gl-ES"/>
        </a:p>
      </dgm:t>
    </dgm:pt>
    <dgm:pt modelId="{0FD2DE70-76BB-4670-8139-D00FA25766ED}" type="sibTrans" cxnId="{B4549E5F-F487-4255-8D37-61C628FF85FB}">
      <dgm:prSet/>
      <dgm:spPr/>
      <dgm:t>
        <a:bodyPr/>
        <a:lstStyle/>
        <a:p>
          <a:endParaRPr lang="gl-ES"/>
        </a:p>
      </dgm:t>
    </dgm:pt>
    <dgm:pt modelId="{C6E23B86-E7E9-452F-A4E7-00BB99A501AA}">
      <dgm:prSet phldrT="[Texto]" custT="1"/>
      <dgm:spPr>
        <a:xfrm>
          <a:off x="4718172" y="51795"/>
          <a:ext cx="1104596" cy="4171346"/>
        </a:xfrm>
        <a:noFill/>
        <a:ln>
          <a:solidFill>
            <a:srgbClr val="4F81BD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lIns="0" rIns="0" anchor="t" anchorCtr="0"/>
        <a:lstStyle/>
        <a:p>
          <a:pPr algn="r"/>
          <a:r>
            <a:rPr lang="gl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UVigo (centros e titulacións, servizos, áreas,..., órganos institucionais)</a:t>
          </a:r>
        </a:p>
        <a:p>
          <a:pPr algn="r"/>
          <a:r>
            <a:rPr lang="gl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Axencias de Calidade Administración Organismos e institucións</a:t>
          </a:r>
        </a:p>
        <a:p>
          <a:pPr algn="r"/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Estudantes, PDI, Egresadas/os, Empregadoras/es, Sociedade</a:t>
          </a:r>
        </a:p>
        <a:p>
          <a:pPr algn="l"/>
          <a:endParaRPr lang="es-ES" sz="8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l"/>
          <a:r>
            <a:rPr lang="es-ES" sz="800" dirty="0" smtClean="0"/>
            <a:t>Desenvolvemento das relacións institucionais</a:t>
          </a:r>
        </a:p>
        <a:p>
          <a:pPr algn="l"/>
          <a:r>
            <a:rPr lang="es-ES" sz="800" dirty="0" smtClean="0"/>
            <a:t>Desenvolvemento profesional</a:t>
          </a:r>
          <a:endParaRPr lang="es-ES" sz="8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l"/>
          <a:r>
            <a:rPr lang="gl-ES" sz="8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Información pública e rendemento de contas</a:t>
          </a:r>
        </a:p>
        <a:p>
          <a:pPr algn="l"/>
          <a:r>
            <a:rPr lang="gl-ES" sz="8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Cumprimento dos requisitos legais</a:t>
          </a:r>
        </a:p>
        <a:p>
          <a:pPr algn="l"/>
          <a:r>
            <a:rPr lang="gl-ES" sz="8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Mellora das competencias e adquisición de experiencias</a:t>
          </a:r>
        </a:p>
        <a:p>
          <a:pPr algn="l"/>
          <a:r>
            <a:rPr lang="gl-ES" sz="8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Mellora da empregabilidade</a:t>
          </a:r>
        </a:p>
        <a:p>
          <a:pPr algn="l"/>
          <a:r>
            <a:rPr lang="gl-ES" sz="8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Información (resultados e actividades) útil para  o desenvolvemento da estratexia</a:t>
          </a:r>
        </a:p>
        <a:p>
          <a:pPr algn="l"/>
          <a:r>
            <a:rPr lang="gl-ES" sz="8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Resultados académicos (mellora das titulacións...)</a:t>
          </a:r>
        </a:p>
      </dgm:t>
    </dgm:pt>
    <dgm:pt modelId="{4D4A75BA-FBA5-4147-94E4-C6AF756A8610}" type="parTrans" cxnId="{3F88FA71-2640-483D-B210-8F6B8C65B688}">
      <dgm:prSet/>
      <dgm:spPr/>
      <dgm:t>
        <a:bodyPr/>
        <a:lstStyle/>
        <a:p>
          <a:endParaRPr lang="gl-ES"/>
        </a:p>
      </dgm:t>
    </dgm:pt>
    <dgm:pt modelId="{9EE186ED-F761-406C-9899-D5373BCC03F8}" type="sibTrans" cxnId="{3F88FA71-2640-483D-B210-8F6B8C65B688}">
      <dgm:prSet/>
      <dgm:spPr/>
      <dgm:t>
        <a:bodyPr/>
        <a:lstStyle/>
        <a:p>
          <a:endParaRPr lang="gl-ES"/>
        </a:p>
      </dgm:t>
    </dgm:pt>
    <dgm:pt modelId="{66F2CFCA-DC3A-4C3D-8085-CADEFF7191A5}">
      <dgm:prSet phldrT="[Texto]" custT="1"/>
      <dgm:spPr>
        <a:xfrm rot="16200000">
          <a:off x="4751599" y="1853005"/>
          <a:ext cx="2331725" cy="218528"/>
        </a:xfr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22222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22222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22222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/>
          <a:r>
            <a:rPr lang="es-ES" sz="7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Grupos de Interese                      </a:t>
          </a:r>
          <a:r>
            <a:rPr lang="es-ES" sz="7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Satisfacción</a:t>
          </a:r>
          <a:endParaRPr lang="gl-ES" sz="7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9E51FBEE-7CFF-4044-B8F1-0D5DEE92DA0F}" type="parTrans" cxnId="{796A03DA-E531-408E-89F0-7D808039C7AB}">
      <dgm:prSet/>
      <dgm:spPr/>
      <dgm:t>
        <a:bodyPr/>
        <a:lstStyle/>
        <a:p>
          <a:endParaRPr lang="gl-ES"/>
        </a:p>
      </dgm:t>
    </dgm:pt>
    <dgm:pt modelId="{B1D1E2AB-E871-44A0-AA38-ABFE20D5BF7E}" type="sibTrans" cxnId="{796A03DA-E531-408E-89F0-7D808039C7AB}">
      <dgm:prSet/>
      <dgm:spPr/>
      <dgm:t>
        <a:bodyPr/>
        <a:lstStyle/>
        <a:p>
          <a:endParaRPr lang="gl-ES"/>
        </a:p>
      </dgm:t>
    </dgm:pt>
    <dgm:pt modelId="{3A3894BC-5DC6-4F74-BDCD-4D276899F2EA}">
      <dgm:prSet phldrT="[Texto]" custT="1"/>
      <dgm:spPr>
        <a:xfrm>
          <a:off x="2515952" y="345740"/>
          <a:ext cx="1270890" cy="384093"/>
        </a:xfr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Estratexia de internacionalización e/o mobilidade</a:t>
          </a:r>
          <a:endParaRPr lang="gl-ES" sz="800" b="1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8DF9015-6081-4D6A-9425-9AC958AF410D}" type="parTrans" cxnId="{CC636D62-87CD-41D2-8963-89790845A1F8}">
      <dgm:prSet/>
      <dgm:spPr/>
      <dgm:t>
        <a:bodyPr/>
        <a:lstStyle/>
        <a:p>
          <a:endParaRPr lang="gl-ES"/>
        </a:p>
      </dgm:t>
    </dgm:pt>
    <dgm:pt modelId="{3C2C1BD5-B357-4D73-96D5-35A887E3EF02}" type="sibTrans" cxnId="{CC636D62-87CD-41D2-8963-89790845A1F8}">
      <dgm:prSet/>
      <dgm:spPr>
        <a:xfrm>
          <a:off x="1475253" y="736561"/>
          <a:ext cx="3329951" cy="3505039"/>
        </a:xfr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gl-ES"/>
        </a:p>
      </dgm:t>
    </dgm:pt>
    <dgm:pt modelId="{A171DF25-998F-49EA-8EAD-F71728DAB1CA}">
      <dgm:prSet phldrT="[Texto]" custT="1"/>
      <dgm:spPr>
        <a:xfrm>
          <a:off x="3692248" y="3235945"/>
          <a:ext cx="796214" cy="249051"/>
        </a:xfr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26667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26667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26667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 sz="800" b="1" dirty="0" smtClean="0"/>
            <a:t>Mobilidade</a:t>
          </a:r>
        </a:p>
        <a:p>
          <a:r>
            <a:rPr lang="es-ES" sz="800" b="1" dirty="0" smtClean="0"/>
            <a:t>conforme aos obxectivos</a:t>
          </a:r>
          <a:endParaRPr lang="es-ES" sz="800" b="1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C8ECF0B-44DD-4EB7-A32B-054EF9F2E35E}" type="parTrans" cxnId="{2C62B6CE-4696-4606-984A-E71147883716}">
      <dgm:prSet/>
      <dgm:spPr/>
      <dgm:t>
        <a:bodyPr/>
        <a:lstStyle/>
        <a:p>
          <a:endParaRPr lang="gl-ES"/>
        </a:p>
      </dgm:t>
    </dgm:pt>
    <dgm:pt modelId="{48840D5A-0E69-42F3-AF9C-198AB25585BC}" type="sibTrans" cxnId="{2C62B6CE-4696-4606-984A-E71147883716}">
      <dgm:prSet/>
      <dgm:spPr/>
      <dgm:t>
        <a:bodyPr/>
        <a:lstStyle/>
        <a:p>
          <a:endParaRPr lang="gl-ES"/>
        </a:p>
      </dgm:t>
    </dgm:pt>
    <dgm:pt modelId="{B640D509-062B-4D73-888D-E9108DACDFB2}">
      <dgm:prSet phldrT="[Texto]" custT="1"/>
      <dgm:spPr>
        <a:xfrm>
          <a:off x="3213886" y="1553430"/>
          <a:ext cx="1415032" cy="531927"/>
        </a:xfr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Medición, análise e mellora</a:t>
          </a:r>
        </a:p>
      </dgm:t>
    </dgm:pt>
    <dgm:pt modelId="{2A3EDC7C-3862-464B-9C4F-3F508E7C32FC}" type="parTrans" cxnId="{006ADAAC-B08B-4F14-BF86-0516A262896C}">
      <dgm:prSet/>
      <dgm:spPr/>
      <dgm:t>
        <a:bodyPr/>
        <a:lstStyle/>
        <a:p>
          <a:endParaRPr lang="gl-ES"/>
        </a:p>
      </dgm:t>
    </dgm:pt>
    <dgm:pt modelId="{EE0349B6-22DB-4DEF-9E69-6A63D955384F}" type="sibTrans" cxnId="{006ADAAC-B08B-4F14-BF86-0516A262896C}">
      <dgm:prSet/>
      <dgm:spPr/>
      <dgm:t>
        <a:bodyPr/>
        <a:lstStyle/>
        <a:p>
          <a:endParaRPr lang="gl-ES"/>
        </a:p>
      </dgm:t>
    </dgm:pt>
    <dgm:pt modelId="{EC654BA4-577B-4990-8437-2CAE865B62E7}">
      <dgm:prSet phldrT="[Texto]" custT="1"/>
      <dgm:spPr>
        <a:xfrm>
          <a:off x="2617966" y="2111385"/>
          <a:ext cx="1944150" cy="661125"/>
        </a:xfr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35556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35556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35556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lIns="0" rIns="0"/>
        <a:lstStyle/>
        <a:p>
          <a:pPr algn="l"/>
          <a:r>
            <a:rPr lang="es-ES" sz="6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</a:t>
          </a:r>
          <a:r>
            <a:rPr lang="es-ES" sz="6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Resultados de avaliación (centros, titulacións, servizos...)</a:t>
          </a:r>
        </a:p>
        <a:p>
          <a:pPr algn="l"/>
          <a:r>
            <a:rPr lang="es-ES" sz="6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Participación dos  grupos de interese (propostas, suxestións,...)</a:t>
          </a:r>
        </a:p>
        <a:p>
          <a:pPr algn="l"/>
          <a:r>
            <a:rPr lang="es-ES" sz="6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Utilización e/ou aplicación: experiencias, boas prácticas..</a:t>
          </a:r>
        </a:p>
        <a:p>
          <a:pPr algn="l"/>
          <a:r>
            <a:rPr lang="es-ES" sz="6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Novas expectativas, esixencias e/ou necesidades detectadas </a:t>
          </a:r>
        </a:p>
        <a:p>
          <a:pPr algn="l"/>
          <a:r>
            <a:rPr lang="es-ES" sz="6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Indicadores de calidade (datos e resultados de centrros e titualcións...) </a:t>
          </a:r>
        </a:p>
        <a:p>
          <a:pPr algn="l"/>
          <a:r>
            <a:rPr lang="es-ES" sz="6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Documentos do SGIC</a:t>
          </a:r>
          <a:endParaRPr lang="gl-ES" sz="600" b="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CD625B9-D698-4E0D-8800-48A3714E23DE}" type="parTrans" cxnId="{4EF7F811-CDB4-47BD-8C84-A925983FDA85}">
      <dgm:prSet/>
      <dgm:spPr/>
      <dgm:t>
        <a:bodyPr/>
        <a:lstStyle/>
        <a:p>
          <a:endParaRPr lang="gl-ES"/>
        </a:p>
      </dgm:t>
    </dgm:pt>
    <dgm:pt modelId="{0E836410-BF88-486C-91E3-D3C972753F78}" type="sibTrans" cxnId="{4EF7F811-CDB4-47BD-8C84-A925983FDA85}">
      <dgm:prSet/>
      <dgm:spPr/>
      <dgm:t>
        <a:bodyPr/>
        <a:lstStyle/>
        <a:p>
          <a:endParaRPr lang="gl-ES"/>
        </a:p>
      </dgm:t>
    </dgm:pt>
    <dgm:pt modelId="{8186A98D-5478-4DDF-BE5B-2A12EE1F953D}">
      <dgm:prSet phldrT="[Texto]" custT="1"/>
      <dgm:spPr>
        <a:xfrm>
          <a:off x="1521908" y="1038929"/>
          <a:ext cx="1086366" cy="650845"/>
        </a:xfr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Recursos</a:t>
          </a:r>
        </a:p>
        <a:p>
          <a:r>
            <a:rPr lang="es-ES" sz="8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Páxinas web (UVigo, centros e titulacións), Institucións colaboradoras</a:t>
          </a:r>
          <a:endParaRPr lang="gl-ES" sz="5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FEE5833-455C-48A8-A953-9A0093A60B2E}" type="parTrans" cxnId="{1316F978-BE90-4067-8AF6-4116A4829912}">
      <dgm:prSet/>
      <dgm:spPr/>
      <dgm:t>
        <a:bodyPr/>
        <a:lstStyle/>
        <a:p>
          <a:endParaRPr lang="gl-ES"/>
        </a:p>
      </dgm:t>
    </dgm:pt>
    <dgm:pt modelId="{0E507BCE-58FF-422C-BED7-F7EE99FA6183}" type="sibTrans" cxnId="{1316F978-BE90-4067-8AF6-4116A4829912}">
      <dgm:prSet/>
      <dgm:spPr/>
      <dgm:t>
        <a:bodyPr/>
        <a:lstStyle/>
        <a:p>
          <a:endParaRPr lang="gl-ES"/>
        </a:p>
      </dgm:t>
    </dgm:pt>
    <dgm:pt modelId="{A5C3C4E6-613D-46A8-8B9F-2522AFDDF7C8}" type="pres">
      <dgm:prSet presAssocID="{D895BA6B-DDC1-41AC-9425-80AF81B0783B}" presName="Name0" presStyleCnt="0">
        <dgm:presLayoutVars>
          <dgm:dir val="rev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DFA9AEFE-992D-4B78-B110-3024BF395A16}" type="pres">
      <dgm:prSet presAssocID="{D895BA6B-DDC1-41AC-9425-80AF81B0783B}" presName="cycle" presStyleCnt="0"/>
      <dgm:spPr/>
      <dgm:t>
        <a:bodyPr/>
        <a:lstStyle/>
        <a:p>
          <a:endParaRPr lang="gl-ES"/>
        </a:p>
      </dgm:t>
    </dgm:pt>
    <dgm:pt modelId="{645FF909-54FB-4D7F-9419-E19E1B1629A0}" type="pres">
      <dgm:prSet presAssocID="{3A3894BC-5DC6-4F74-BDCD-4D276899F2EA}" presName="nodeFirstNode" presStyleLbl="node1" presStyleIdx="0" presStyleCnt="10" custScaleX="123746" custScaleY="74798" custRadScaleRad="58703" custRadScaleInc="-111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8D6040DE-17D8-49F3-A915-D29044DFB534}" type="pres">
      <dgm:prSet presAssocID="{3C2C1BD5-B357-4D73-96D5-35A887E3EF02}" presName="sibTransFirstNode" presStyleLbl="bgShp" presStyleIdx="0" presStyleCnt="1" custScaleX="73694" custScaleY="78774" custLinFactNeighborX="-251" custLinFactNeighborY="1867"/>
      <dgm:spPr>
        <a:prstGeom prst="leftCircularArrow">
          <a:avLst>
            <a:gd name="adj1" fmla="val 5544"/>
            <a:gd name="adj2" fmla="val 330680"/>
            <a:gd name="adj3" fmla="val 17768475"/>
            <a:gd name="adj4" fmla="val 15515710"/>
            <a:gd name="adj5" fmla="val 5757"/>
          </a:avLst>
        </a:prstGeom>
      </dgm:spPr>
      <dgm:t>
        <a:bodyPr/>
        <a:lstStyle/>
        <a:p>
          <a:endParaRPr lang="gl-ES"/>
        </a:p>
      </dgm:t>
    </dgm:pt>
    <dgm:pt modelId="{2293AD92-B3A2-4DC0-8113-9A14A1BF0832}" type="pres">
      <dgm:prSet presAssocID="{164EDA8F-B004-4130-AFE5-E24B3EC43B97}" presName="nodeFollowingNodes" presStyleLbl="node1" presStyleIdx="1" presStyleCnt="10" custScaleX="136591" custScaleY="209680" custRadScaleRad="102572" custRadScaleInc="-37521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EFC57911-84B8-48B8-987D-E4A6346D0FCB}" type="pres">
      <dgm:prSet presAssocID="{FBE45AD7-DD31-49FA-B366-A2AC218AC74B}" presName="nodeFollowingNodes" presStyleLbl="node1" presStyleIdx="2" presStyleCnt="10" custScaleX="107554" custScaleY="840042" custRadScaleRad="121671" custRadScaleInc="-9049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86BA7024-79E5-4F66-8473-89C108F176F4}" type="pres">
      <dgm:prSet presAssocID="{EDC6FE82-C607-4D3F-ADE1-B40105F09FFB}" presName="nodeFollowingNodes" presStyleLbl="node1" presStyleIdx="3" presStyleCnt="10" custAng="16200000" custScaleX="245835" custScaleY="46267" custRadScaleRad="158142" custRadScaleInc="3692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17B53C54-BA67-46C8-83A8-56EA565774F5}" type="pres">
      <dgm:prSet presAssocID="{C6E23B86-E7E9-452F-A4E7-00BB99A501AA}" presName="nodeFollowingNodes" presStyleLbl="node1" presStyleIdx="4" presStyleCnt="10" custScaleX="107554" custScaleY="840042" custRadScaleRad="109603" custRadScaleInc="-34623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F6D18DB1-F45B-4417-A97F-A7DE9DC823BE}" type="pres">
      <dgm:prSet presAssocID="{66F2CFCA-DC3A-4C3D-8085-CADEFF7191A5}" presName="nodeFollowingNodes" presStyleLbl="node1" presStyleIdx="5" presStyleCnt="10" custAng="16200000" custScaleX="227039" custScaleY="42556" custRadScaleRad="149207" custRadScaleInc="-25575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7FB123E0-CFD9-40E1-9D97-4C7D701EC485}" type="pres">
      <dgm:prSet presAssocID="{A171DF25-998F-49EA-8EAD-F71728DAB1CA}" presName="nodeFollowingNodes" presStyleLbl="node1" presStyleIdx="6" presStyleCnt="10" custScaleX="77527" custScaleY="96520" custRadScaleRad="102033" custRadScaleInc="2637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BEEA5593-69D5-43CC-A3DA-B732586770D1}" type="pres">
      <dgm:prSet presAssocID="{B640D509-062B-4D73-888D-E9108DACDFB2}" presName="nodeFollowingNodes" presStyleLbl="node1" presStyleIdx="7" presStyleCnt="10" custScaleX="137781" custScaleY="53407" custRadScaleRad="40597" custRadScaleInc="-4182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7B34D873-FB69-4BE6-9327-499F48D0B869}" type="pres">
      <dgm:prSet presAssocID="{EC654BA4-577B-4990-8437-2CAE865B62E7}" presName="nodeFollowingNodes" presStyleLbl="node1" presStyleIdx="8" presStyleCnt="10" custScaleX="189301" custScaleY="198115" custRadScaleRad="42615" custRadScaleInc="2301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CB3FE62B-C73E-4D34-8112-B03D4601F43D}" type="pres">
      <dgm:prSet presAssocID="{8186A98D-5478-4DDF-BE5B-2A12EE1F953D}" presName="nodeFollowingNodes" presStyleLbl="node1" presStyleIdx="9" presStyleCnt="10" custScaleX="105779" custScaleY="166761" custRadScaleRad="59582" custRadScaleInc="-34002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</dgm:ptLst>
  <dgm:cxnLst>
    <dgm:cxn modelId="{F4BD490D-A848-49D4-B751-E4FF0C977C83}" type="presOf" srcId="{8186A98D-5478-4DDF-BE5B-2A12EE1F953D}" destId="{CB3FE62B-C73E-4D34-8112-B03D4601F43D}" srcOrd="0" destOrd="0" presId="urn:microsoft.com/office/officeart/2005/8/layout/cycle3"/>
    <dgm:cxn modelId="{B4549E5F-F487-4255-8D37-61C628FF85FB}" srcId="{D895BA6B-DDC1-41AC-9425-80AF81B0783B}" destId="{EDC6FE82-C607-4D3F-ADE1-B40105F09FFB}" srcOrd="3" destOrd="0" parTransId="{5D2B4F79-D1AD-4EA4-A488-B536BEF3E33E}" sibTransId="{0FD2DE70-76BB-4670-8139-D00FA25766ED}"/>
    <dgm:cxn modelId="{2C62B6CE-4696-4606-984A-E71147883716}" srcId="{D895BA6B-DDC1-41AC-9425-80AF81B0783B}" destId="{A171DF25-998F-49EA-8EAD-F71728DAB1CA}" srcOrd="6" destOrd="0" parTransId="{5C8ECF0B-44DD-4EB7-A32B-054EF9F2E35E}" sibTransId="{48840D5A-0E69-42F3-AF9C-198AB25585BC}"/>
    <dgm:cxn modelId="{4448741A-879A-48DB-96A4-E98FEFEAE38C}" srcId="{D895BA6B-DDC1-41AC-9425-80AF81B0783B}" destId="{164EDA8F-B004-4130-AFE5-E24B3EC43B97}" srcOrd="1" destOrd="0" parTransId="{6D72C40C-8015-4BE7-B730-EDAB292017F7}" sibTransId="{874509B9-F00D-4A3D-8F06-5B2CA91B4C45}"/>
    <dgm:cxn modelId="{796A03DA-E531-408E-89F0-7D808039C7AB}" srcId="{D895BA6B-DDC1-41AC-9425-80AF81B0783B}" destId="{66F2CFCA-DC3A-4C3D-8085-CADEFF7191A5}" srcOrd="5" destOrd="0" parTransId="{9E51FBEE-7CFF-4044-B8F1-0D5DEE92DA0F}" sibTransId="{B1D1E2AB-E871-44A0-AA38-ABFE20D5BF7E}"/>
    <dgm:cxn modelId="{4EF7F811-CDB4-47BD-8C84-A925983FDA85}" srcId="{D895BA6B-DDC1-41AC-9425-80AF81B0783B}" destId="{EC654BA4-577B-4990-8437-2CAE865B62E7}" srcOrd="8" destOrd="0" parTransId="{DCD625B9-D698-4E0D-8800-48A3714E23DE}" sibTransId="{0E836410-BF88-486C-91E3-D3C972753F78}"/>
    <dgm:cxn modelId="{5214CAB2-3E06-4D39-9BC1-345A146A1C86}" type="presOf" srcId="{C6E23B86-E7E9-452F-A4E7-00BB99A501AA}" destId="{17B53C54-BA67-46C8-83A8-56EA565774F5}" srcOrd="0" destOrd="0" presId="urn:microsoft.com/office/officeart/2005/8/layout/cycle3"/>
    <dgm:cxn modelId="{31BC69FE-2F4E-41CC-91D8-7136C194D6ED}" type="presOf" srcId="{A171DF25-998F-49EA-8EAD-F71728DAB1CA}" destId="{7FB123E0-CFD9-40E1-9D97-4C7D701EC485}" srcOrd="0" destOrd="0" presId="urn:microsoft.com/office/officeart/2005/8/layout/cycle3"/>
    <dgm:cxn modelId="{D10D1B0F-01EA-48EB-ACAB-0C329F19C271}" srcId="{D895BA6B-DDC1-41AC-9425-80AF81B0783B}" destId="{FBE45AD7-DD31-49FA-B366-A2AC218AC74B}" srcOrd="2" destOrd="0" parTransId="{161459C7-2169-4388-B934-E9133B878FE1}" sibTransId="{0B638751-F6DC-4E4B-A938-089DCE0F92C7}"/>
    <dgm:cxn modelId="{8F633AEE-4674-40D8-8DCC-E5EE07A5CEF7}" type="presOf" srcId="{EDC6FE82-C607-4D3F-ADE1-B40105F09FFB}" destId="{86BA7024-79E5-4F66-8473-89C108F176F4}" srcOrd="0" destOrd="0" presId="urn:microsoft.com/office/officeart/2005/8/layout/cycle3"/>
    <dgm:cxn modelId="{CC636D62-87CD-41D2-8963-89790845A1F8}" srcId="{D895BA6B-DDC1-41AC-9425-80AF81B0783B}" destId="{3A3894BC-5DC6-4F74-BDCD-4D276899F2EA}" srcOrd="0" destOrd="0" parTransId="{68DF9015-6081-4D6A-9425-9AC958AF410D}" sibTransId="{3C2C1BD5-B357-4D73-96D5-35A887E3EF02}"/>
    <dgm:cxn modelId="{D69F0DDC-420D-4030-BBD5-D5BE8B2D494C}" type="presOf" srcId="{66F2CFCA-DC3A-4C3D-8085-CADEFF7191A5}" destId="{F6D18DB1-F45B-4417-A97F-A7DE9DC823BE}" srcOrd="0" destOrd="0" presId="urn:microsoft.com/office/officeart/2005/8/layout/cycle3"/>
    <dgm:cxn modelId="{CD426810-895C-4BFB-9A42-892802A21F3B}" type="presOf" srcId="{D895BA6B-DDC1-41AC-9425-80AF81B0783B}" destId="{A5C3C4E6-613D-46A8-8B9F-2522AFDDF7C8}" srcOrd="0" destOrd="0" presId="urn:microsoft.com/office/officeart/2005/8/layout/cycle3"/>
    <dgm:cxn modelId="{8B4C5C71-2E5E-4DF2-84C4-06DDC02AE96C}" type="presOf" srcId="{3A3894BC-5DC6-4F74-BDCD-4D276899F2EA}" destId="{645FF909-54FB-4D7F-9419-E19E1B1629A0}" srcOrd="0" destOrd="0" presId="urn:microsoft.com/office/officeart/2005/8/layout/cycle3"/>
    <dgm:cxn modelId="{6CF2AD5E-4723-4432-A92C-D2E573421735}" type="presOf" srcId="{EC654BA4-577B-4990-8437-2CAE865B62E7}" destId="{7B34D873-FB69-4BE6-9327-499F48D0B869}" srcOrd="0" destOrd="0" presId="urn:microsoft.com/office/officeart/2005/8/layout/cycle3"/>
    <dgm:cxn modelId="{F3805C8A-D55C-45B6-9E7E-4FC77AC59398}" type="presOf" srcId="{164EDA8F-B004-4130-AFE5-E24B3EC43B97}" destId="{2293AD92-B3A2-4DC0-8113-9A14A1BF0832}" srcOrd="0" destOrd="0" presId="urn:microsoft.com/office/officeart/2005/8/layout/cycle3"/>
    <dgm:cxn modelId="{57D895C8-4D46-49A9-AB9A-FF0B5F89849F}" type="presOf" srcId="{B640D509-062B-4D73-888D-E9108DACDFB2}" destId="{BEEA5593-69D5-43CC-A3DA-B732586770D1}" srcOrd="0" destOrd="0" presId="urn:microsoft.com/office/officeart/2005/8/layout/cycle3"/>
    <dgm:cxn modelId="{1316F978-BE90-4067-8AF6-4116A4829912}" srcId="{D895BA6B-DDC1-41AC-9425-80AF81B0783B}" destId="{8186A98D-5478-4DDF-BE5B-2A12EE1F953D}" srcOrd="9" destOrd="0" parTransId="{0FEE5833-455C-48A8-A953-9A0093A60B2E}" sibTransId="{0E507BCE-58FF-422C-BED7-F7EE99FA6183}"/>
    <dgm:cxn modelId="{006ADAAC-B08B-4F14-BF86-0516A262896C}" srcId="{D895BA6B-DDC1-41AC-9425-80AF81B0783B}" destId="{B640D509-062B-4D73-888D-E9108DACDFB2}" srcOrd="7" destOrd="0" parTransId="{2A3EDC7C-3862-464B-9C4F-3F508E7C32FC}" sibTransId="{EE0349B6-22DB-4DEF-9E69-6A63D955384F}"/>
    <dgm:cxn modelId="{6EAFB463-0615-4E24-AA1A-C1C38DBC8E06}" type="presOf" srcId="{FBE45AD7-DD31-49FA-B366-A2AC218AC74B}" destId="{EFC57911-84B8-48B8-987D-E4A6346D0FCB}" srcOrd="0" destOrd="0" presId="urn:microsoft.com/office/officeart/2005/8/layout/cycle3"/>
    <dgm:cxn modelId="{3F88FA71-2640-483D-B210-8F6B8C65B688}" srcId="{D895BA6B-DDC1-41AC-9425-80AF81B0783B}" destId="{C6E23B86-E7E9-452F-A4E7-00BB99A501AA}" srcOrd="4" destOrd="0" parTransId="{4D4A75BA-FBA5-4147-94E4-C6AF756A8610}" sibTransId="{9EE186ED-F761-406C-9899-D5373BCC03F8}"/>
    <dgm:cxn modelId="{B75B9569-7428-423F-9444-8E7D17EC5D53}" type="presOf" srcId="{3C2C1BD5-B357-4D73-96D5-35A887E3EF02}" destId="{8D6040DE-17D8-49F3-A915-D29044DFB534}" srcOrd="0" destOrd="0" presId="urn:microsoft.com/office/officeart/2005/8/layout/cycle3"/>
    <dgm:cxn modelId="{9F28363B-A202-482B-B623-EA79A8116A42}" type="presParOf" srcId="{A5C3C4E6-613D-46A8-8B9F-2522AFDDF7C8}" destId="{DFA9AEFE-992D-4B78-B110-3024BF395A16}" srcOrd="0" destOrd="0" presId="urn:microsoft.com/office/officeart/2005/8/layout/cycle3"/>
    <dgm:cxn modelId="{4028ED47-078D-40FA-808E-8B46491AE485}" type="presParOf" srcId="{DFA9AEFE-992D-4B78-B110-3024BF395A16}" destId="{645FF909-54FB-4D7F-9419-E19E1B1629A0}" srcOrd="0" destOrd="0" presId="urn:microsoft.com/office/officeart/2005/8/layout/cycle3"/>
    <dgm:cxn modelId="{08AC1987-16DA-49AD-B58D-FD1305378FDE}" type="presParOf" srcId="{DFA9AEFE-992D-4B78-B110-3024BF395A16}" destId="{8D6040DE-17D8-49F3-A915-D29044DFB534}" srcOrd="1" destOrd="0" presId="urn:microsoft.com/office/officeart/2005/8/layout/cycle3"/>
    <dgm:cxn modelId="{F1711576-99E5-4169-8DB1-899B2471B0F3}" type="presParOf" srcId="{DFA9AEFE-992D-4B78-B110-3024BF395A16}" destId="{2293AD92-B3A2-4DC0-8113-9A14A1BF0832}" srcOrd="2" destOrd="0" presId="urn:microsoft.com/office/officeart/2005/8/layout/cycle3"/>
    <dgm:cxn modelId="{04881D42-893B-4267-AAA6-67A41E9C95FD}" type="presParOf" srcId="{DFA9AEFE-992D-4B78-B110-3024BF395A16}" destId="{EFC57911-84B8-48B8-987D-E4A6346D0FCB}" srcOrd="3" destOrd="0" presId="urn:microsoft.com/office/officeart/2005/8/layout/cycle3"/>
    <dgm:cxn modelId="{60E8B010-9BF7-423B-BDE0-4478FF529F5F}" type="presParOf" srcId="{DFA9AEFE-992D-4B78-B110-3024BF395A16}" destId="{86BA7024-79E5-4F66-8473-89C108F176F4}" srcOrd="4" destOrd="0" presId="urn:microsoft.com/office/officeart/2005/8/layout/cycle3"/>
    <dgm:cxn modelId="{966C4ED3-8897-4B20-A733-FEAF74A9C405}" type="presParOf" srcId="{DFA9AEFE-992D-4B78-B110-3024BF395A16}" destId="{17B53C54-BA67-46C8-83A8-56EA565774F5}" srcOrd="5" destOrd="0" presId="urn:microsoft.com/office/officeart/2005/8/layout/cycle3"/>
    <dgm:cxn modelId="{C7510FAE-E208-4CE2-8597-BFBAB566468C}" type="presParOf" srcId="{DFA9AEFE-992D-4B78-B110-3024BF395A16}" destId="{F6D18DB1-F45B-4417-A97F-A7DE9DC823BE}" srcOrd="6" destOrd="0" presId="urn:microsoft.com/office/officeart/2005/8/layout/cycle3"/>
    <dgm:cxn modelId="{B72F687C-734A-4413-9661-1E7CB945406F}" type="presParOf" srcId="{DFA9AEFE-992D-4B78-B110-3024BF395A16}" destId="{7FB123E0-CFD9-40E1-9D97-4C7D701EC485}" srcOrd="7" destOrd="0" presId="urn:microsoft.com/office/officeart/2005/8/layout/cycle3"/>
    <dgm:cxn modelId="{5C5399BE-B461-49C1-A05F-0EF376943B07}" type="presParOf" srcId="{DFA9AEFE-992D-4B78-B110-3024BF395A16}" destId="{BEEA5593-69D5-43CC-A3DA-B732586770D1}" srcOrd="8" destOrd="0" presId="urn:microsoft.com/office/officeart/2005/8/layout/cycle3"/>
    <dgm:cxn modelId="{C8B439F3-895E-4394-959D-3FF97BE9AF79}" type="presParOf" srcId="{DFA9AEFE-992D-4B78-B110-3024BF395A16}" destId="{7B34D873-FB69-4BE6-9327-499F48D0B869}" srcOrd="9" destOrd="0" presId="urn:microsoft.com/office/officeart/2005/8/layout/cycle3"/>
    <dgm:cxn modelId="{2316E4E7-F3F9-4C11-A652-B155870CEA36}" type="presParOf" srcId="{DFA9AEFE-992D-4B78-B110-3024BF395A16}" destId="{CB3FE62B-C73E-4D34-8112-B03D4601F43D}" srcOrd="10" destOrd="0" presId="urn:microsoft.com/office/officeart/2005/8/layout/cycle3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6040DE-17D8-49F3-A915-D29044DFB534}">
      <dsp:nvSpPr>
        <dsp:cNvPr id="0" name=""/>
        <dsp:cNvSpPr/>
      </dsp:nvSpPr>
      <dsp:spPr>
        <a:xfrm>
          <a:off x="1388464" y="824004"/>
          <a:ext cx="3522091" cy="3764882"/>
        </a:xfrm>
        <a:prstGeom prst="leftCircularArrow">
          <a:avLst>
            <a:gd name="adj1" fmla="val 5544"/>
            <a:gd name="adj2" fmla="val 330680"/>
            <a:gd name="adj3" fmla="val 17768475"/>
            <a:gd name="adj4" fmla="val 15515710"/>
            <a:gd name="adj5" fmla="val 5757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645FF909-54FB-4D7F-9419-E19E1B1629A0}">
      <dsp:nvSpPr>
        <dsp:cNvPr id="0" name=""/>
        <dsp:cNvSpPr/>
      </dsp:nvSpPr>
      <dsp:spPr>
        <a:xfrm>
          <a:off x="2479624" y="404184"/>
          <a:ext cx="1363762" cy="412161"/>
        </a:xfrm>
        <a:prstGeom prst="roundRect">
          <a:avLst/>
        </a:prstGeo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Estratexia de internacionalización e/o mobilidade</a:t>
          </a:r>
          <a:endParaRPr lang="gl-ES" sz="800" b="1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499744" y="424304"/>
        <a:ext cx="1323522" cy="371921"/>
      </dsp:txXfrm>
    </dsp:sp>
    <dsp:sp modelId="{2293AD92-B3A2-4DC0-8113-9A14A1BF0832}">
      <dsp:nvSpPr>
        <dsp:cNvPr id="0" name=""/>
        <dsp:cNvSpPr/>
      </dsp:nvSpPr>
      <dsp:spPr>
        <a:xfrm>
          <a:off x="1660394" y="3177961"/>
          <a:ext cx="1505322" cy="1155405"/>
        </a:xfrm>
        <a:prstGeom prst="roundRect">
          <a:avLst/>
        </a:prstGeo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Desenvolvemento da mobilidade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Xestión dos convenios e acordos de colaboración.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Xestión do estudantado de mobilidade (propio e alleo)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Xestión dos programas de intercambio</a:t>
          </a:r>
        </a:p>
      </dsp:txBody>
      <dsp:txXfrm>
        <a:off x="1716796" y="3234363"/>
        <a:ext cx="1392518" cy="1042601"/>
      </dsp:txXfrm>
    </dsp:sp>
    <dsp:sp modelId="{EFC57911-84B8-48B8-987D-E4A6346D0FCB}">
      <dsp:nvSpPr>
        <dsp:cNvPr id="0" name=""/>
        <dsp:cNvSpPr/>
      </dsp:nvSpPr>
      <dsp:spPr>
        <a:xfrm>
          <a:off x="147496" y="-8526"/>
          <a:ext cx="1185315" cy="4628908"/>
        </a:xfrm>
        <a:prstGeom prst="roundRect">
          <a:avLst/>
        </a:prstGeom>
        <a:noFill/>
        <a:ln>
          <a:solidFill>
            <a:srgbClr val="4F81BD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0480" rIns="0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UVigo (centros e titulacións, servizos, áreas,..., órganos institucionais)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Participación na implantación e xestión do SGIC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Dispoñibilidade dos documentos (avaliación, utilización...)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Obxectivos de mobilidade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Aprendizaxe permanente (mellora da calidade, educación, competitividade...)</a:t>
          </a:r>
          <a:endParaRPr lang="es-ES" sz="800" kern="12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600" kern="12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Axencias de Calidade Administración Organismos e institucións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Esixencias legais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Dispoñibilidade dos documentos (avaliación, acreditación, certificación,...)</a:t>
          </a:r>
          <a:endParaRPr lang="es-ES" sz="800" b="1" kern="12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600" kern="12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Estudantes, PDI, Egresadas/os, Empregadoras/es, Sociedade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s-ES" sz="8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Obxectivos da formación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Dessenvolvemento de competencias interculturais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Mellora da cohesión social</a:t>
          </a:r>
        </a:p>
      </dsp:txBody>
      <dsp:txXfrm>
        <a:off x="205358" y="49336"/>
        <a:ext cx="1069591" cy="4513184"/>
      </dsp:txXfrm>
    </dsp:sp>
    <dsp:sp modelId="{86BA7024-79E5-4F66-8473-89C108F176F4}">
      <dsp:nvSpPr>
        <dsp:cNvPr id="0" name=""/>
        <dsp:cNvSpPr/>
      </dsp:nvSpPr>
      <dsp:spPr>
        <a:xfrm rot="16200000">
          <a:off x="-1227158" y="2011459"/>
          <a:ext cx="2709263" cy="254946"/>
        </a:xfrm>
        <a:prstGeom prst="roundRect">
          <a:avLst/>
        </a:prstGeo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13333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13333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13333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Grupos de Interese</a:t>
          </a:r>
          <a:r>
            <a:rPr lang="es-ES" sz="6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     </a:t>
          </a:r>
          <a:r>
            <a:rPr lang="es-ES" sz="7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Requisitos, necesidades e expectativas</a:t>
          </a:r>
          <a:endParaRPr lang="gl-ES" sz="7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-1214713" y="2023904"/>
        <a:ext cx="2684373" cy="230056"/>
      </dsp:txXfrm>
    </dsp:sp>
    <dsp:sp modelId="{17B53C54-BA67-46C8-83A8-56EA565774F5}">
      <dsp:nvSpPr>
        <dsp:cNvPr id="0" name=""/>
        <dsp:cNvSpPr/>
      </dsp:nvSpPr>
      <dsp:spPr>
        <a:xfrm>
          <a:off x="4755776" y="0"/>
          <a:ext cx="1185315" cy="4628908"/>
        </a:xfrm>
        <a:prstGeom prst="roundRect">
          <a:avLst/>
        </a:prstGeom>
        <a:noFill/>
        <a:ln>
          <a:solidFill>
            <a:srgbClr val="4F81BD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0480" rIns="0" bIns="30480" numCol="1" spcCol="1270" anchor="t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UVigo (centros e titulacións, servizos, áreas,..., órganos institucionais)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Axencias de Calidade Administración Organismos e institucións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Estudantes, PDI, Egresadas/os, Empregadoras/es, Sociedade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kern="12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/>
            <a:t>Desenvolvemento das relacións institucionais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/>
            <a:t>Desenvolvemento profesional</a:t>
          </a:r>
          <a:endParaRPr lang="es-ES" sz="800" kern="12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Información pública e rendemento de contas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Cumprimento dos requisitos legais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Mellora das competencias e adquisición de experiencias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Mellora da empregabilidade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Información (resultados e actividades) útil para  o desenvolvemento da estratexia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Resultados académicos (mellora das titulacións...)</a:t>
          </a:r>
        </a:p>
      </dsp:txBody>
      <dsp:txXfrm>
        <a:off x="4813638" y="57862"/>
        <a:ext cx="1069591" cy="4513184"/>
      </dsp:txXfrm>
    </dsp:sp>
    <dsp:sp modelId="{F6D18DB1-F45B-4417-A97F-A7DE9DC823BE}">
      <dsp:nvSpPr>
        <dsp:cNvPr id="0" name=""/>
        <dsp:cNvSpPr/>
      </dsp:nvSpPr>
      <dsp:spPr>
        <a:xfrm rot="16200000">
          <a:off x="4658476" y="2023101"/>
          <a:ext cx="2502119" cy="234497"/>
        </a:xfrm>
        <a:prstGeom prst="roundRect">
          <a:avLst/>
        </a:prstGeo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22222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22222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22222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Grupos de Interese                      </a:t>
          </a:r>
          <a:r>
            <a:rPr lang="es-ES" sz="7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Satisfacción</a:t>
          </a:r>
          <a:endParaRPr lang="gl-ES" sz="7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69923" y="2034548"/>
        <a:ext cx="2479225" cy="211603"/>
      </dsp:txXfrm>
    </dsp:sp>
    <dsp:sp modelId="{7FB123E0-CFD9-40E1-9D97-4C7D701EC485}">
      <dsp:nvSpPr>
        <dsp:cNvPr id="0" name=""/>
        <dsp:cNvSpPr/>
      </dsp:nvSpPr>
      <dsp:spPr>
        <a:xfrm>
          <a:off x="3697919" y="3387518"/>
          <a:ext cx="854398" cy="531857"/>
        </a:xfrm>
        <a:prstGeom prst="roundRect">
          <a:avLst/>
        </a:prstGeo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26667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26667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26667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/>
            <a:t>Mobilidade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/>
            <a:t>conforme aos obxectivos</a:t>
          </a:r>
          <a:endParaRPr lang="es-ES" sz="800" b="1" kern="12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23882" y="3413481"/>
        <a:ext cx="802472" cy="479931"/>
      </dsp:txXfrm>
    </dsp:sp>
    <dsp:sp modelId="{BEEA5593-69D5-43CC-A3DA-B732586770D1}">
      <dsp:nvSpPr>
        <dsp:cNvPr id="0" name=""/>
        <dsp:cNvSpPr/>
      </dsp:nvSpPr>
      <dsp:spPr>
        <a:xfrm>
          <a:off x="3234999" y="1721739"/>
          <a:ext cx="1518437" cy="294290"/>
        </a:xfrm>
        <a:prstGeom prst="roundRect">
          <a:avLst/>
        </a:prstGeo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Medición, análise e mellora</a:t>
          </a:r>
        </a:p>
      </dsp:txBody>
      <dsp:txXfrm>
        <a:off x="3249365" y="1736105"/>
        <a:ext cx="1489705" cy="265558"/>
      </dsp:txXfrm>
    </dsp:sp>
    <dsp:sp modelId="{7B34D873-FB69-4BE6-9327-499F48D0B869}">
      <dsp:nvSpPr>
        <dsp:cNvPr id="0" name=""/>
        <dsp:cNvSpPr/>
      </dsp:nvSpPr>
      <dsp:spPr>
        <a:xfrm>
          <a:off x="2595186" y="1991757"/>
          <a:ext cx="2086221" cy="1091678"/>
        </a:xfrm>
        <a:prstGeom prst="roundRect">
          <a:avLst/>
        </a:prstGeo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35556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35556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35556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22860" rIns="0" bIns="22860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</a:t>
          </a:r>
          <a:r>
            <a:rPr lang="es-ES" sz="6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Resultados de avaliación (centros, titulacións, servizos...)</a:t>
          </a:r>
        </a:p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Participación dos  grupos de interese (propostas, suxestións,...)</a:t>
          </a:r>
        </a:p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Utilización e/ou aplicación: experiencias, boas prácticas..</a:t>
          </a:r>
        </a:p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Novas expectativas, esixencias e/ou necesidades detectadas </a:t>
          </a:r>
        </a:p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Indicadores de calidade (datos e resultados de centrros e titualcións...) </a:t>
          </a:r>
        </a:p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Documentos do SGIC</a:t>
          </a:r>
          <a:endParaRPr lang="gl-ES" sz="600" b="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648477" y="2045048"/>
        <a:ext cx="1979639" cy="985096"/>
      </dsp:txXfrm>
    </dsp:sp>
    <dsp:sp modelId="{CB3FE62B-C73E-4D34-8112-B03D4601F43D}">
      <dsp:nvSpPr>
        <dsp:cNvPr id="0" name=""/>
        <dsp:cNvSpPr/>
      </dsp:nvSpPr>
      <dsp:spPr>
        <a:xfrm>
          <a:off x="1411790" y="1038652"/>
          <a:ext cx="1165754" cy="918908"/>
        </a:xfrm>
        <a:prstGeom prst="roundRect">
          <a:avLst/>
        </a:prstGeo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Recursos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Páxinas web (UVigo, centros e titulacións), Institucións colaboradoras</a:t>
          </a:r>
          <a:endParaRPr lang="gl-ES" sz="5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456647" y="1083509"/>
        <a:ext cx="1076040" cy="8291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63ACC-302E-48A7-ADE5-F6951FEA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11</Pages>
  <Words>1607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calidad21</dc:creator>
  <cp:keywords/>
  <dc:description/>
  <cp:lastModifiedBy>calidad21</cp:lastModifiedBy>
  <cp:revision>24</cp:revision>
  <cp:lastPrinted>2013-03-12T08:20:00Z</cp:lastPrinted>
  <dcterms:created xsi:type="dcterms:W3CDTF">2013-03-22T11:55:00Z</dcterms:created>
  <dcterms:modified xsi:type="dcterms:W3CDTF">2013-07-02T08:19:00Z</dcterms:modified>
</cp:coreProperties>
</file>